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Volume V — Training &amp; Certification</w:t>
      </w:r>
    </w:p>
    <w:p>
      <w:pPr>
        <w:pStyle w:val="Subtitle"/>
      </w:pPr>
      <w:r>
        <w:t xml:space="preserve">Federal Compliance Series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2026-07-19 16:20 ET</w:t>
      </w:r>
    </w:p>
    <w:bookmarkEnd w:id="9"/>
    <w:bookmarkStart w:id="10" w:name="volume-purpose"/>
    <w:p>
      <w:pPr>
        <w:pStyle w:val="Heading1"/>
      </w:pPr>
      <w:r>
        <w:t xml:space="preserve">Volume Purpose</w:t>
      </w:r>
    </w:p>
    <w:p>
      <w:pPr>
        <w:pStyle w:val="FirstParagraph"/>
      </w:pPr>
      <w:r>
        <w:rPr>
          <w:b/>
          <w:bCs/>
        </w:rPr>
        <w:t xml:space="preserve">Volume V is where the series becomes a workforce.</w:t>
      </w:r>
      <w:r>
        <w:t xml:space="preserve"> </w:t>
      </w:r>
      <w:r>
        <w:t xml:space="preserve">Volumes 0–IV describe the</w:t>
      </w:r>
      <w:r>
        <w:t xml:space="preserve"> </w:t>
      </w:r>
      <w:r>
        <w:t xml:space="preserve">naming and identity substrate, the data platform, the security-operations planes,</w:t>
      </w:r>
      <w:r>
        <w:t xml:space="preserve"> </w:t>
      </w:r>
      <w:r>
        <w:t xml:space="preserve">and the governance and authorization machinery. None of that closes a control</w:t>
      </w:r>
      <w:r>
        <w:t xml:space="preserve"> </w:t>
      </w:r>
      <w:r>
        <w:t xml:space="preserve">until someone can</w:t>
      </w:r>
      <w:r>
        <w:t xml:space="preserve"> </w:t>
      </w:r>
      <w:r>
        <w:rPr>
          <w:b/>
          <w:bCs/>
        </w:rPr>
        <w:t xml:space="preserve">build the mechanism, land its evidence, and trace it</w:t>
      </w:r>
      <w:r>
        <w:t xml:space="preserve"> </w:t>
      </w:r>
      <w:r>
        <w:t xml:space="preserve">from</w:t>
      </w:r>
      <w:r>
        <w:t xml:space="preserve"> </w:t>
      </w:r>
      <w:r>
        <w:t xml:space="preserve">the book that specifies it, through the NIST SP 800-53 Rev 5 control it satisfies,</w:t>
      </w:r>
      <w:r>
        <w:t xml:space="preserve"> </w:t>
      </w:r>
      <w:r>
        <w:t xml:space="preserve">to the FedRAMP 20x KSI that scores it. Volume V builds that competency — and, in</w:t>
      </w:r>
      <w:r>
        <w:t xml:space="preserve"> </w:t>
      </w:r>
      <w:r>
        <w:t xml:space="preserve">doing so, operationalizes the training program that produces the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: proof that the people running the program are trained.</w:t>
      </w:r>
    </w:p>
    <w:p>
      <w:pPr>
        <w:pStyle w:val="BodyText"/>
      </w:pPr>
      <w:r>
        <w:t xml:space="preserve">The volume is organized as two tracks over the same corpus. A</w:t>
      </w:r>
      <w:r>
        <w:t xml:space="preserve"> </w:t>
      </w:r>
      <w:r>
        <w:rPr>
          <w:b/>
          <w:bCs/>
        </w:rPr>
        <w:t xml:space="preserve">compliance</w:t>
      </w:r>
      <w:r>
        <w:rPr>
          <w:b/>
          <w:bCs/>
        </w:rPr>
        <w:t xml:space="preserve"> </w:t>
      </w:r>
      <w:r>
        <w:rPr>
          <w:b/>
          <w:bCs/>
        </w:rPr>
        <w:t xml:space="preserve">track</w:t>
      </w:r>
      <w:r>
        <w:t xml:space="preserve"> </w:t>
      </w:r>
      <w:r>
        <w:t xml:space="preserve">reads the series as control-closure evidence — one module per evidence</w:t>
      </w:r>
      <w:r>
        <w:t xml:space="preserve"> </w:t>
      </w:r>
      <w:r>
        <w:t xml:space="preserve">slot, book → control → KSI → evidence. An</w:t>
      </w:r>
      <w:r>
        <w:t xml:space="preserve"> </w:t>
      </w:r>
      <w:r>
        <w:rPr>
          <w:b/>
          <w:bCs/>
        </w:rPr>
        <w:t xml:space="preserve">implementation track</w:t>
      </w:r>
      <w:r>
        <w:t xml:space="preserve"> </w:t>
      </w:r>
      <w:r>
        <w:t xml:space="preserve">reads it as</w:t>
      </w:r>
      <w:r>
        <w:t xml:space="preserve"> </w:t>
      </w:r>
      <w:r>
        <w:t xml:space="preserve">build instructions — one module per book cluster, each ending by</w:t>
      </w:r>
      <w:r>
        <w:t xml:space="preserve"> </w:t>
      </w:r>
      <w:r>
        <w:rPr>
          <w:i/>
          <w:iCs/>
        </w:rPr>
        <w:t xml:space="preserve">landing an</w:t>
      </w:r>
      <w:r>
        <w:rPr>
          <w:i/>
          <w:iCs/>
        </w:rPr>
        <w:t xml:space="preserve"> </w:t>
      </w:r>
      <w:r>
        <w:rPr>
          <w:i/>
          <w:iCs/>
        </w:rPr>
        <w:t xml:space="preserve">evidence artifact</w:t>
      </w:r>
      <w:r>
        <w:t xml:space="preserve"> </w:t>
      </w:r>
      <w:r>
        <w:t xml:space="preserve">where the conformance adapter can bind it. The volume’s</w:t>
      </w:r>
      <w:r>
        <w:t xml:space="preserve"> </w:t>
      </w:r>
      <w:r>
        <w:t xml:space="preserve">governing claim is the series’ Conformance-Tooling Coverage Gap (Vol 0 Book 00,</w:t>
      </w:r>
      <w:r>
        <w:t xml:space="preserve"> </w:t>
      </w:r>
      <w:r>
        <w:t xml:space="preserve">Executive Summary) turned into a curriculum:</w:t>
      </w:r>
      <w:r>
        <w:t xml:space="preserve"> </w:t>
      </w:r>
      <w:r>
        <w:rPr>
          <w:b/>
          <w:bCs/>
        </w:rPr>
        <w:t xml:space="preserve">conformance tooling measures</w:t>
      </w:r>
      <w:r>
        <w:rPr>
          <w:b/>
          <w:bCs/>
        </w:rPr>
        <w:t xml:space="preserve"> </w:t>
      </w:r>
      <w:r>
        <w:rPr>
          <w:b/>
          <w:bCs/>
        </w:rPr>
        <w:t xml:space="preserve">drift from an intended state; it cannot author one. Ten of the series’ twenty-nine internal KSI</w:t>
      </w:r>
      <w:r>
        <w:rPr>
          <w:b/>
          <w:bCs/>
        </w:rPr>
        <w:t xml:space="preserve"> </w:t>
      </w:r>
      <w:r>
        <w:rPr>
          <w:b/>
          <w:bCs/>
        </w:rPr>
        <w:t xml:space="preserve">rules are attestable by ScuBA-class tooling alone; the other nineteen bind to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slots that exist only because a trained workforce built the</w:t>
      </w:r>
      <w:r>
        <w:rPr>
          <w:b/>
          <w:bCs/>
        </w:rPr>
        <w:t xml:space="preserve"> </w:t>
      </w:r>
      <w:r>
        <w:rPr>
          <w:b/>
          <w:bCs/>
        </w:rPr>
        <w:t xml:space="preserve">architecture in Volumes I–IV.</w:t>
      </w:r>
      <w:r>
        <w:t xml:space="preserve"> </w:t>
      </w:r>
      <w:r>
        <w:t xml:space="preserve">A workforce, not a scanner, authors the evidence</w:t>
      </w:r>
      <w:r>
        <w:t xml:space="preserve"> </w:t>
      </w:r>
      <w:r>
        <w:t xml:space="preserve">state — and that competency is itself a control (AT-2/AT-3, KSI-CED).</w:t>
      </w:r>
    </w:p>
    <w:bookmarkEnd w:id="10"/>
    <w:bookmarkStart w:id="11" w:name="books-in-this-volume"/>
    <w:p>
      <w:pPr>
        <w:pStyle w:val="Heading1"/>
      </w:pPr>
      <w:r>
        <w:t xml:space="preserve">Books in This Volume</w:t>
      </w:r>
    </w:p>
    <w:p>
      <w:pPr>
        <w:pStyle w:val="TableCaption"/>
      </w:pPr>
      <w:r>
        <w:t xml:space="preserve">Volume V — Training &amp; Certification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Volume V — Training &amp; Certification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 Book 01</w:t>
            </w:r>
          </w:p>
        </w:tc>
        <w:tc>
          <w:tcPr/>
          <w:p>
            <w:pPr>
              <w:pStyle w:val="Compact"/>
            </w:pPr>
            <w:r>
              <w:t xml:space="preserve">The Compliance Track</w:t>
            </w:r>
          </w:p>
        </w:tc>
        <w:tc>
          <w:tcPr/>
          <w:p>
            <w:pPr>
              <w:pStyle w:val="Compact"/>
            </w:pPr>
            <w:r>
              <w:t xml:space="preserve">The eight evidence slots taught as curriculum — book → NIST control → FedRAMP 20x KSI → evidence — capped by the eight-slot walk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 Book 02</w:t>
            </w:r>
          </w:p>
        </w:tc>
        <w:tc>
          <w:tcPr/>
          <w:p>
            <w:pPr>
              <w:pStyle w:val="Compact"/>
            </w:pPr>
            <w:r>
              <w:t xml:space="preserve">The Implementation Track</w:t>
            </w:r>
          </w:p>
        </w:tc>
        <w:tc>
          <w:tcPr/>
          <w:p>
            <w:pPr>
              <w:pStyle w:val="Compact"/>
            </w:pPr>
            <w:r>
              <w:t xml:space="preserve">Building the Volumes I–IV architectures and</w:t>
            </w:r>
            <w:r>
              <w:t xml:space="preserve"> </w:t>
            </w:r>
            <w:r>
              <w:rPr>
                <w:i/>
                <w:iCs/>
              </w:rPr>
              <w:t xml:space="preserve">landing the evidence</w:t>
            </w:r>
            <w:r>
              <w:t xml:space="preserve"> </w:t>
            </w:r>
            <w:r>
              <w:t xml:space="preserve">Track A consumes; the lab exercises as worked builds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 Book 03</w:t>
            </w:r>
          </w:p>
        </w:tc>
        <w:tc>
          <w:tcPr/>
          <w:p>
            <w:pPr>
              <w:pStyle w:val="Compact"/>
            </w:pPr>
            <w:r>
              <w:t xml:space="preserve">Assessment, Rubrics &amp; Certification</w:t>
            </w:r>
          </w:p>
        </w:tc>
        <w:tc>
          <w:tcPr/>
          <w:p>
            <w:pPr>
              <w:pStyle w:val="Compact"/>
            </w:pPr>
            <w:r>
              <w:t xml:space="preserve">The four-level rubric ladder, the eight-slot-walk capstone, and the KSI Closure Necessity Matrix as the certification exam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 Book 04</w:t>
            </w:r>
          </w:p>
        </w:tc>
        <w:tc>
          <w:tcPr/>
          <w:p>
            <w:pPr>
              <w:pStyle w:val="Compact"/>
            </w:pPr>
            <w:r>
              <w:t xml:space="preserve">Vendor Training &amp; Lab Environments</w:t>
            </w:r>
          </w:p>
        </w:tc>
        <w:tc>
          <w:tcPr/>
          <w:p>
            <w:pPr>
              <w:pStyle w:val="Compact"/>
            </w:pPr>
            <w:r>
              <w:t xml:space="preserve">The realization layer — external courses mapped per volume, and scripted fixture / tenant / eval lab environments</w:t>
            </w:r>
          </w:p>
        </w:tc>
      </w:tr>
    </w:tbl>
    <w:p>
      <w:pPr>
        <w:pStyle w:val="BodyText"/>
      </w:pPr>
      <w:r>
        <w:rPr>
          <w:b/>
          <w:bCs/>
        </w:rPr>
        <w:t xml:space="preserve">Relationship to Vol IV Book 05 (Cybersecurity Training &amp; Awareness)</w:t>
      </w:r>
      <w:r>
        <w:t xml:space="preserve"> </w:t>
      </w:r>
      <w:r>
        <w:t xml:space="preserve">— Vol IV Book 05 specifies the</w:t>
      </w:r>
      <w:r>
        <w:t xml:space="preserve"> </w:t>
      </w:r>
      <w:r>
        <w:rPr>
          <w:b/>
          <w:bCs/>
        </w:rPr>
        <w:t xml:space="preserve">AT-family training program and its control closure</w:t>
      </w:r>
      <w:r>
        <w:t xml:space="preserve"> </w:t>
      </w:r>
      <w:r>
        <w:t xml:space="preserve">(AT-2/3/4, CP-3, IR-2). This volume is the</w:t>
      </w:r>
      <w:r>
        <w:t xml:space="preserve"> </w:t>
      </w:r>
      <w:r>
        <w:rPr>
          <w:b/>
          <w:bCs/>
        </w:rPr>
        <w:t xml:space="preserve">academy</w:t>
      </w:r>
      <w:r>
        <w:t xml:space="preserve"> </w:t>
      </w:r>
      <w:r>
        <w:t xml:space="preserve">that operationalizes that program at manuscript depth — the two tracks, labs, and certification — and produces the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 </w:t>
      </w:r>
      <w:r>
        <w:t xml:space="preserve">/ KSI-CED evidence the program depends on. The division is deliberate: Vol IV Book 05 states</w:t>
      </w:r>
      <w:r>
        <w:t xml:space="preserve"> </w:t>
      </w:r>
      <w:r>
        <w:rPr>
          <w:i/>
          <w:iCs/>
        </w:rPr>
        <w:t xml:space="preserve">what the program must be and close</w:t>
      </w:r>
      <w:r>
        <w:t xml:space="preserve">; Volume V</w:t>
      </w:r>
      <w:r>
        <w:t xml:space="preserve"> </w:t>
      </w:r>
      <w:r>
        <w:rPr>
          <w:i/>
          <w:iCs/>
        </w:rPr>
        <w:t xml:space="preserve">teaches it, runs the labs, and certifies competency</w:t>
      </w:r>
      <w:r>
        <w:t xml:space="preserve">. The two cross-reference rather than duplicate.</w:t>
      </w:r>
    </w:p>
    <w:bookmarkEnd w:id="11"/>
    <w:bookmarkStart w:id="12" w:name="how-this-volume-fits-the-program"/>
    <w:p>
      <w:pPr>
        <w:pStyle w:val="Heading1"/>
      </w:pPr>
      <w:r>
        <w:t xml:space="preserve">How This Volume Fits the Program</w:t>
      </w:r>
    </w:p>
    <w:p>
      <w:pPr>
        <w:pStyle w:val="FirstParagraph"/>
      </w:pPr>
      <w:r>
        <w:t xml:space="preserve">Volume V</w:t>
      </w:r>
      <w:r>
        <w:t xml:space="preserve"> </w:t>
      </w:r>
      <w:r>
        <w:rPr>
          <w:b/>
          <w:bCs/>
        </w:rPr>
        <w:t xml:space="preserve">depends on every architecture volume it teaches (Volumes 0–IV)</w:t>
      </w:r>
      <w:r>
        <w:t xml:space="preserve"> </w:t>
      </w:r>
      <w:r>
        <w:t xml:space="preserve">— it</w:t>
      </w:r>
      <w:r>
        <w:t xml:space="preserve"> </w:t>
      </w:r>
      <w:r>
        <w:t xml:space="preserve">teaches them, referencing each Vol I–IV book by its coordinates rather than</w:t>
      </w:r>
      <w:r>
        <w:t xml:space="preserve"> </w:t>
      </w:r>
      <w:r>
        <w:t xml:space="preserve">restating it. It</w:t>
      </w:r>
      <w:r>
        <w:t xml:space="preserve"> </w:t>
      </w:r>
      <w:r>
        <w:rPr>
          <w:b/>
          <w:bCs/>
        </w:rPr>
        <w:t xml:space="preserve">produces</w:t>
      </w:r>
      <w:r>
        <w:t xml:space="preserve"> </w:t>
      </w:r>
      <w:r>
        <w:t xml:space="preserve">two things the program depends on:</w:t>
      </w:r>
      <w:r>
        <w:t xml:space="preserve"> </w:t>
      </w:r>
      <w:r>
        <w:rPr>
          <w:b/>
          <w:bCs/>
        </w:rPr>
        <w:t xml:space="preserve">trained operators and assessors</w:t>
      </w:r>
      <w:r>
        <w:t xml:space="preserve">, and the</w:t>
      </w:r>
      <w:r>
        <w:t xml:space="preserve"> </w:t>
      </w:r>
      <w:r>
        <w:rPr>
          <w:rStyle w:val="VerbatimChar"/>
          <w:b/>
          <w:bCs/>
        </w:rPr>
        <w:t xml:space="preserve">training-effectiveness-record</w:t>
      </w:r>
      <w:r>
        <w:t xml:space="preserve"> </w:t>
      </w:r>
      <w:r>
        <w:t xml:space="preserve">that Volume IV’s Authorization Package &amp; ConMon book (Vol IV Book 06) freezes</w:t>
      </w:r>
      <w:r>
        <w:t xml:space="preserve"> </w:t>
      </w:r>
      <w:r>
        <w:t xml:space="preserve">into the OSCAL bundle as the slot-8 / KSI-CED closure. The truth-versus-</w:t>
      </w:r>
      <w:r>
        <w:t xml:space="preserve"> </w:t>
      </w:r>
      <w:r>
        <w:t xml:space="preserve">enforcement separation holds here as everywhere: the</w:t>
      </w:r>
      <w:r>
        <w:t xml:space="preserve"> </w:t>
      </w:r>
      <w:r>
        <w:rPr>
          <w:b/>
          <w:bCs/>
        </w:rPr>
        <w:t xml:space="preserve">certification record is a</w:t>
      </w:r>
      <w:r>
        <w:rPr>
          <w:b/>
          <w:bCs/>
        </w:rPr>
        <w:t xml:space="preserve"> </w:t>
      </w:r>
      <w:r>
        <w:rPr>
          <w:b/>
          <w:bCs/>
        </w:rPr>
        <w:t xml:space="preserve">truth-plane artifact</w:t>
      </w:r>
      <w:r>
        <w:t xml:space="preserve"> </w:t>
      </w:r>
      <w:r>
        <w:t xml:space="preserve">— it attests competency and feeds the KSI pipeline —</w:t>
      </w:r>
      <w:r>
        <w:t xml:space="preserve"> </w:t>
      </w:r>
      <w:r>
        <w:t xml:space="preserve">while the</w:t>
      </w:r>
      <w:r>
        <w:t xml:space="preserve"> </w:t>
      </w:r>
      <w:r>
        <w:rPr>
          <w:b/>
          <w:bCs/>
        </w:rPr>
        <w:t xml:space="preserve">courses and labs are enforcement-plane</w:t>
      </w:r>
      <w:r>
        <w:t xml:space="preserve">, re-platformable per vendor</w:t>
      </w:r>
      <w:r>
        <w:t xml:space="preserve"> </w:t>
      </w:r>
      <w:r>
        <w:t xml:space="preserve">(Theme F, the realization layer). Remove Volume V and Volumes I–IV survive as</w:t>
      </w:r>
      <w:r>
        <w:t xml:space="preserve"> </w:t>
      </w:r>
      <w:r>
        <w:t xml:space="preserve">documents, but the path from</w:t>
      </w:r>
      <w:r>
        <w:t xml:space="preserve"> </w:t>
      </w:r>
      <w:r>
        <w:t xml:space="preserve">“the books exist”</w:t>
      </w:r>
      <w:r>
        <w:t xml:space="preserve"> </w:t>
      </w:r>
      <w:r>
        <w:t xml:space="preserve">to</w:t>
      </w:r>
      <w:r>
        <w:t xml:space="preserve"> </w:t>
      </w:r>
      <w:r>
        <w:t xml:space="preserve">“the workforce closes the</w:t>
      </w:r>
      <w:r>
        <w:t xml:space="preserve"> </w:t>
      </w:r>
      <w:r>
        <w:t xml:space="preserve">controls and the training KSI evaluates”</w:t>
      </w:r>
      <w:r>
        <w:t xml:space="preserve"> </w:t>
      </w:r>
      <w:r>
        <w:t xml:space="preserve">does not.</w:t>
      </w:r>
    </w:p>
    <w:bookmarkEnd w:id="12"/>
    <w:bookmarkStart w:id="14" w:name="X8370e8c548a65b81ec17d9ad6cc210ed489b073"/>
    <w:p>
      <w:pPr>
        <w:pStyle w:val="Heading1"/>
      </w:pPr>
      <w:r>
        <w:t xml:space="preserve">Where This Volume’s Evidence Lands — Volume X (Optional)</w:t>
      </w:r>
    </w:p>
    <w:p>
      <w:pPr>
        <w:pStyle w:val="FirstParagraph"/>
      </w:pPr>
      <w:r>
        <w:t xml:space="preserve">Where the closures and evidence this volume produces bind to the governance</w:t>
      </w:r>
      <w:r>
        <w:t xml:space="preserve"> </w:t>
      </w:r>
      <w:r>
        <w:t xml:space="preserve">substrate — the conformance layer, the surface slots, and the evidence</w:t>
      </w:r>
      <w:r>
        <w:t xml:space="preserve"> </w:t>
      </w:r>
      <w:r>
        <w:t xml:space="preserve">contract — is documented once, for the whole series, in</w:t>
      </w:r>
      <w:r>
        <w:t xml:space="preserve"> </w:t>
      </w:r>
      <w:r>
        <w:rPr>
          <w:b/>
          <w:bCs/>
        </w:rPr>
        <w:t xml:space="preserve">Vol X Book 00 — Governance-Substrate Integration</w:t>
      </w:r>
      <w:r>
        <w:t xml:space="preserve">.</w:t>
      </w:r>
      <w:r>
        <w:t xml:space="preserve"> </w:t>
      </w:r>
      <w:r>
        <w:t xml:space="preserve">The binding is</w:t>
      </w:r>
      <w:r>
        <w:t xml:space="preserve"> </w:t>
      </w:r>
      <w:r>
        <w:rPr>
          <w:b/>
          <w:bCs/>
        </w:rPr>
        <w:t xml:space="preserve">optional and separable</w:t>
      </w:r>
      <w:r>
        <w:t xml:space="preserve">: this volume, and the series it</w:t>
      </w:r>
      <w:r>
        <w:t xml:space="preserve"> </w:t>
      </w:r>
      <w:r>
        <w:t xml:space="preserve">belongs to, stands complete at FedRAMP Moderate with no substrate engagement</w:t>
      </w:r>
      <w:r>
        <w:t xml:space="preserve"> </w:t>
      </w:r>
      <w:r>
        <w:t xml:space="preserve">at all; adopting the substrate adds machine-checked scoring and drift-gating</w:t>
      </w:r>
      <w:r>
        <w:t xml:space="preserve"> </w:t>
      </w:r>
      <w:r>
        <w:t xml:space="preserve">on top of what is already closed, and can be adopted later — or never —</w:t>
      </w:r>
      <w:r>
        <w:t xml:space="preserve"> </w:t>
      </w:r>
      <w:r>
        <w:t xml:space="preserve">without rework.</w:t>
      </w:r>
    </w:p>
    <w:bookmarkStart w:id="13" w:name="draft-proposal-subject-to-review-1"/>
    <w:p>
      <w:pPr>
        <w:pStyle w:val="Heading2"/>
      </w:pPr>
      <w:r>
        <w:t xml:space="preserve">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2026-07-18 06:20 ET</w:t>
      </w:r>
    </w:p>
    <w:bookmarkEnd w:id="13"/>
    <w:bookmarkEnd w:id="14"/>
    <w:bookmarkStart w:id="15" w:name="what-this-document-addresses"/>
    <w:p>
      <w:pPr>
        <w:pStyle w:val="Heading1"/>
      </w:pPr>
      <w:r>
        <w:t xml:space="preserve">What This Document Addresses</w:t>
      </w:r>
    </w:p>
    <w:p>
      <w:pPr>
        <w:pStyle w:val="FirstParagraph"/>
      </w:pPr>
      <w:r>
        <w:t xml:space="preserve">Volumes I–IV of this series build a system; Volume V teaches it. This book is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compliance track</w:t>
      </w:r>
      <w:r>
        <w:t xml:space="preserve"> </w:t>
      </w:r>
      <w:r>
        <w:t xml:space="preserve">of that teaching — the reading of the corpus that a</w:t>
      </w:r>
      <w:r>
        <w:t xml:space="preserve"> </w:t>
      </w:r>
      <w:r>
        <w:t xml:space="preserve">FedRAMP 20x assessor, an ISSO, or a ConMon operator needs. It does not build</w:t>
      </w:r>
      <w:r>
        <w:t xml:space="preserve"> </w:t>
      </w:r>
      <w:r>
        <w:t xml:space="preserve">anything new. It takes the eight evidence slots the conformance adapter</w:t>
      </w:r>
      <w:r>
        <w:t xml:space="preserve"> </w:t>
      </w:r>
      <w:r>
        <w:t xml:space="preserve">evaluates and turns each one into a module: which books close it, which NIST</w:t>
      </w:r>
      <w:r>
        <w:t xml:space="preserve"> </w:t>
      </w:r>
      <w:r>
        <w:t xml:space="preserve">SP 800-53 Rev 5 controls they close, which FedRAMP 20x Key Security Indicator</w:t>
      </w:r>
      <w:r>
        <w:t xml:space="preserve"> </w:t>
      </w:r>
      <w:r>
        <w:t xml:space="preserve">(KSI) scores the closure, and what artifact proves the chain end-to-end.</w:t>
      </w:r>
    </w:p>
    <w:p>
      <w:pPr>
        <w:pStyle w:val="BodyText"/>
      </w:pPr>
      <w:r>
        <w:t xml:space="preserve">The track exists because of a fact the series states in Vol 0 Book 00 and this</w:t>
      </w:r>
      <w:r>
        <w:t xml:space="preserve"> </w:t>
      </w:r>
      <w:r>
        <w:t xml:space="preserve">book operationalizes:</w:t>
      </w:r>
      <w:r>
        <w:t xml:space="preserve"> </w:t>
      </w:r>
      <w:r>
        <w:rPr>
          <w:b/>
          <w:bCs/>
        </w:rPr>
        <w:t xml:space="preserve">conformance tooling measures drift from an intended</w:t>
      </w:r>
      <w:r>
        <w:rPr>
          <w:b/>
          <w:bCs/>
        </w:rPr>
        <w:t xml:space="preserve"> </w:t>
      </w:r>
      <w:r>
        <w:rPr>
          <w:b/>
          <w:bCs/>
        </w:rPr>
        <w:t xml:space="preserve">state; it cannot author one.</w:t>
      </w:r>
      <w:r>
        <w:t xml:space="preserve"> </w:t>
      </w:r>
      <w:r>
        <w:t xml:space="preserve">Ten of the series’ twenty-nine internal KSI rules are attestable</w:t>
      </w:r>
      <w:r>
        <w:t xml:space="preserve"> </w:t>
      </w:r>
      <w:r>
        <w:t xml:space="preserve">by ScuBA-class tooling alone (KSI-001..010, via the CISA ScuBA adapter). The</w:t>
      </w:r>
      <w:r>
        <w:t xml:space="preserve"> </w:t>
      </w:r>
      <w:r>
        <w:t xml:space="preserve">other nineteen bind to evidence slots that exist only because a workforce built</w:t>
      </w:r>
      <w:r>
        <w:t xml:space="preserve"> </w:t>
      </w:r>
      <w:r>
        <w:t xml:space="preserve">the architecture in Volumes I–IV — and an assessor can only score those slots if</w:t>
      </w:r>
      <w:r>
        <w:t xml:space="preserve"> </w:t>
      </w:r>
      <w:r>
        <w:t xml:space="preserve">someone can trace the book that produced the evidence to the control it closes</w:t>
      </w:r>
      <w:r>
        <w:t xml:space="preserve"> </w:t>
      </w:r>
      <w:r>
        <w:t xml:space="preserve">to the KSI rule that reads it. That tracing skill is what this track certifies.</w:t>
      </w:r>
    </w:p>
    <w:p>
      <w:pPr>
        <w:pStyle w:val="BodyText"/>
      </w:pPr>
      <w:r>
        <w:rPr>
          <w:b/>
          <w:bCs/>
        </w:rPr>
        <w:t xml:space="preserve">Audience.</w:t>
      </w:r>
      <w:r>
        <w:t xml:space="preserve"> </w:t>
      </w:r>
      <w:r>
        <w:t xml:space="preserve">ISSOs / ISSMs, 3PAO assessors, ConMon operators, and compliance</w:t>
      </w:r>
      <w:r>
        <w:t xml:space="preserve"> </w:t>
      </w:r>
      <w:r>
        <w:t xml:space="preserve">leads. Product-level engineering skill is optional here — it is the concern of</w:t>
      </w:r>
      <w:r>
        <w:t xml:space="preserve"> </w:t>
      </w:r>
      <w:r>
        <w:t xml:space="preserve">Vol V Book 02 (The Implementation Track). What this book demands is fluency in</w:t>
      </w:r>
      <w:r>
        <w:t xml:space="preserve"> </w:t>
      </w:r>
      <w:r>
        <w:t xml:space="preserve">the evidence model: the eight slots, the controls under each, and the KSI</w:t>
      </w:r>
      <w:r>
        <w:t xml:space="preserve"> </w:t>
      </w:r>
      <w:r>
        <w:t xml:space="preserve">verdicts the OSCAL emitter produces from them.</w:t>
      </w:r>
    </w:p>
    <w:p>
      <w:pPr>
        <w:pStyle w:val="BodyText"/>
      </w:pPr>
      <w:r>
        <w:rPr>
          <w:b/>
          <w:bCs/>
        </w:rPr>
        <w:t xml:space="preserve">Closure claims are advisory.</w:t>
      </w:r>
      <w:r>
        <w:t xml:space="preserve"> </w:t>
      </w:r>
      <w:r>
        <w:t xml:space="preserve">Every control-closure statement in this track</w:t>
      </w:r>
      <w:r>
        <w:t xml:space="preserve"> </w:t>
      </w:r>
      <w:r>
        <w:t xml:space="preserve">is a self-assessment pending independent security control assessment (SCA) and</w:t>
      </w:r>
      <w:r>
        <w:t xml:space="preserve"> </w:t>
      </w:r>
      <w:r>
        <w:t xml:space="preserve">formal FedRAMP PMO / AO review. The track teaches how to</w:t>
      </w:r>
      <w:r>
        <w:t xml:space="preserve"> </w:t>
      </w:r>
      <w:r>
        <w:rPr>
          <w:i/>
          <w:iCs/>
        </w:rPr>
        <w:t xml:space="preserve">trace and evidence</w:t>
      </w:r>
      <w:r>
        <w:t xml:space="preserve"> </w:t>
      </w:r>
      <w:r>
        <w:t xml:space="preserve">a</w:t>
      </w:r>
      <w:r>
        <w:t xml:space="preserve"> </w:t>
      </w:r>
      <w:r>
        <w:t xml:space="preserve">closure claim, not how to assert one as adjudicated fact.</w:t>
      </w:r>
    </w:p>
    <w:bookmarkEnd w:id="15"/>
    <w:bookmarkStart w:id="16" w:name="how-to-read-this-track"/>
    <w:p>
      <w:pPr>
        <w:pStyle w:val="Heading1"/>
      </w:pPr>
      <w:r>
        <w:t xml:space="preserve">How to Read This Track</w:t>
      </w:r>
    </w:p>
    <w:p>
      <w:pPr>
        <w:pStyle w:val="FirstParagraph"/>
      </w:pPr>
      <w:r>
        <w:t xml:space="preserve">Each module below gives you four things, in the same order: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Read</w:t>
      </w:r>
      <w:r>
        <w:t xml:space="preserve"> </w:t>
      </w:r>
      <w:r>
        <w:t xml:space="preserve">— the Compliance book(s), by volume coordinate, bound to the slot.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Controls</w:t>
      </w:r>
      <w:r>
        <w:t xml:space="preserve"> </w:t>
      </w:r>
      <w:r>
        <w:t xml:space="preserve">— the NIST SP 800-53 Rev 5 anchor controls the slot closes.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Evaluate</w:t>
      </w:r>
      <w:r>
        <w:t xml:space="preserve"> </w:t>
      </w:r>
      <w:r>
        <w:t xml:space="preserve">— the FedRAMP 20x KSI category that scores the closure.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Checkpoint</w:t>
      </w:r>
      <w:r>
        <w:t xml:space="preserve"> </w:t>
      </w:r>
      <w:r>
        <w:t xml:space="preserve">— a concrete artifact or CLI run proving you can trace</w:t>
      </w:r>
      <w:r>
        <w:t xml:space="preserve"> </w:t>
      </w:r>
      <w:r>
        <w:t xml:space="preserve">book → control → KSI → evidence for that slot.</w:t>
      </w:r>
    </w:p>
    <w:p>
      <w:pPr>
        <w:pStyle w:val="FirstParagraph"/>
      </w:pPr>
      <w:r>
        <w:t xml:space="preserve">The slots are the eight evidence-slot mappings in the conformance adapter’s</w:t>
      </w:r>
      <w:r>
        <w:t xml:space="preserve"> </w:t>
      </w:r>
      <w:r>
        <w:t xml:space="preserve">[</w:t>
      </w:r>
      <w:r>
        <w:rPr>
          <w:rStyle w:val="VerbatimChar"/>
        </w:rPr>
        <w:t xml:space="preserve">fedramp_aan_catalog</w:t>
      </w:r>
      <w:r>
        <w:t xml:space="preserve">]</w:t>
      </w:r>
      <w:r>
        <w:t xml:space="preserve"> </w:t>
      </w:r>
      <w:r>
        <w:t xml:space="preserve">— the same YAML the pipeline evaluates, so the curriculum cannot silently drift</w:t>
      </w:r>
      <w:r>
        <w:t xml:space="preserve"> </w:t>
      </w:r>
      <w:r>
        <w:t xml:space="preserve">from the evidence model. Run the pipeline pieces as you go:</w:t>
      </w:r>
    </w:p>
    <w:p>
      <w:pPr>
        <w:pStyle w:val="SourceCode"/>
      </w:pPr>
      <w:r>
        <w:rPr>
          <w:rStyle w:val="CommentTok"/>
        </w:rPr>
        <w:t xml:space="preserve"># Plane 2: evaluate an IR file against the KSI rules</w:t>
      </w:r>
      <w:r>
        <w:br/>
      </w: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ksi </w:t>
      </w:r>
      <w:r>
        <w:rPr>
          <w:rStyle w:val="ExtensionTok"/>
        </w:rPr>
        <w:t xml:space="preserve">evaluate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--ir</w:t>
      </w:r>
      <w:r>
        <w:rPr>
          <w:rStyle w:val="NormalTok"/>
        </w:rPr>
        <w:t xml:space="preserve"> ./output/ir/tenant.ir.json </w:t>
      </w:r>
      <w:r>
        <w:rPr>
          <w:rStyle w:val="AttributeTok"/>
        </w:rPr>
        <w:t xml:space="preserve">--out</w:t>
      </w:r>
      <w:r>
        <w:rPr>
          <w:rStyle w:val="NormalTok"/>
        </w:rPr>
        <w:t xml:space="preserve"> ./output/ksi/tenant.ksi.json</w:t>
      </w:r>
      <w:r>
        <w:br/>
      </w:r>
      <w:r>
        <w:br/>
      </w:r>
      <w:r>
        <w:rPr>
          <w:rStyle w:val="CommentTok"/>
        </w:rPr>
        <w:t xml:space="preserve"># Assessment Results from the Compliance slot evidence bindings</w:t>
      </w:r>
      <w:r>
        <w:br/>
      </w:r>
      <w:r>
        <w:rPr>
          <w:rStyle w:val="CommentTok"/>
        </w:rPr>
        <w:t xml:space="preserve"># (per-KSI satisfied / not-satisfied / not-evaluated verdicts)</w:t>
      </w:r>
      <w:r>
        <w:br/>
      </w: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oscal </w:t>
      </w:r>
      <w:r>
        <w:rPr>
          <w:rStyle w:val="ExtensionTok"/>
        </w:rPr>
        <w:t xml:space="preserve">ksi-ar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--output</w:t>
      </w:r>
      <w:r>
        <w:rPr>
          <w:rStyle w:val="NormalTok"/>
        </w:rPr>
        <w:t xml:space="preserve"> exports/oscal/ksi-ar.json</w:t>
      </w:r>
      <w:r>
        <w:br/>
      </w:r>
      <w:r>
        <w:br/>
      </w:r>
      <w:r>
        <w:rPr>
          <w:rStyle w:val="CommentTok"/>
        </w:rPr>
        <w:t xml:space="preserve"># POA&amp;M + SSP from an evidence bundle</w:t>
      </w:r>
      <w:r>
        <w:br/>
      </w: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oscal </w:t>
      </w:r>
      <w:r>
        <w:rPr>
          <w:rStyle w:val="ExtensionTok"/>
        </w:rPr>
        <w:t xml:space="preserve">generate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--help</w:t>
      </w:r>
    </w:p>
    <w:p>
      <w:pPr>
        <w:pStyle w:val="BlockText"/>
      </w:pPr>
      <w:r>
        <w:rPr>
          <w:b/>
          <w:bCs/>
        </w:rPr>
        <w:t xml:space="preserve">Closure Necessity — why a track, not a checklist.</w:t>
      </w:r>
      <w:r>
        <w:t xml:space="preserve"> </w:t>
      </w:r>
      <w:r>
        <w:t xml:space="preserve">A checklist asserts that</w:t>
      </w:r>
      <w:r>
        <w:t xml:space="preserve"> </w:t>
      </w:r>
      <w:r>
        <w:t xml:space="preserve">a control is met; it cannot show</w:t>
      </w:r>
      <w:r>
        <w:t xml:space="preserve"> </w:t>
      </w:r>
      <w:r>
        <w:rPr>
          <w:i/>
          <w:iCs/>
        </w:rPr>
        <w:t xml:space="preserve">why no alternate mechanism would meet it</w:t>
      </w:r>
      <w:r>
        <w:t xml:space="preserve">.</w:t>
      </w:r>
      <w:r>
        <w:t xml:space="preserve"> </w:t>
      </w:r>
      <w:r>
        <w:t xml:space="preserve">The compliance track’s core discipline is the series’ Closure Necessity</w:t>
      </w:r>
      <w:r>
        <w:t xml:space="preserve"> </w:t>
      </w:r>
      <w:r>
        <w:t xml:space="preserve">doctrine (Vol 0 Book 00, Theme A): for each slot, name the mechanism that</w:t>
      </w:r>
      <w:r>
        <w:t xml:space="preserve"> </w:t>
      </w:r>
      <w:r>
        <w:t xml:space="preserve">closes the control and the reason — control text, physics, or protocol</w:t>
      </w:r>
      <w:r>
        <w:t xml:space="preserve"> </w:t>
      </w:r>
      <w:r>
        <w:t xml:space="preserve">behavior — that no scanner finding or policy document substitutes for it. An</w:t>
      </w:r>
      <w:r>
        <w:t xml:space="preserve"> </w:t>
      </w:r>
      <w:r>
        <w:t xml:space="preserve">assessor who can only recite that a slot is</w:t>
      </w:r>
      <w:r>
        <w:t xml:space="preserve"> </w:t>
      </w:r>
      <w:r>
        <w:t xml:space="preserve">“satisfied”</w:t>
      </w:r>
      <w:r>
        <w:t xml:space="preserve"> </w:t>
      </w:r>
      <w:r>
        <w:t xml:space="preserve">has not closed it; an</w:t>
      </w:r>
      <w:r>
        <w:t xml:space="preserve"> </w:t>
      </w:r>
      <w:r>
        <w:t xml:space="preserve">assessor who can state why the closure is the only path has.</w:t>
      </w:r>
    </w:p>
    <w:bookmarkEnd w:id="16"/>
    <w:bookmarkStart w:id="17" w:name="X8cd38bafef6a2e3a7ba9ae03d85437b757c483d"/>
    <w:p>
      <w:pPr>
        <w:pStyle w:val="Heading1"/>
      </w:pPr>
      <w:r>
        <w:t xml:space="preserve">Module A0 — Orientation: the Compliance Shape of the Corpus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0 Book 00 (Executive Summary) and the</w:t>
      </w:r>
      <w:r>
        <w:t xml:space="preserve"> </w:t>
      </w:r>
      <w:r>
        <w:t xml:space="preserve">[Compliance / ConMon Compliance Gap Roadmap].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Learn:</w:t>
      </w:r>
      <w:r>
        <w:t xml:space="preserve"> </w:t>
      </w:r>
      <w:r>
        <w:t xml:space="preserve">the FedRAMP 20x timeline — the Class A pipeline opens August 3, 2026,</w:t>
      </w:r>
      <w:r>
        <w:t xml:space="preserve"> </w:t>
      </w:r>
      <w:r>
        <w:t xml:space="preserve">CR26 mandatory January 1, 2027 (existing Rev5 Certifications must adopt; FedRAMP</w:t>
      </w:r>
      <w:r>
        <w:t xml:space="preserve"> </w:t>
      </w:r>
      <w:r>
        <w:t xml:space="preserve">stops accepting new Rev5 Certifications after June 11, 2027) — the</w:t>
      </w:r>
      <w:r>
        <w:t xml:space="preserve"> </w:t>
      </w:r>
      <w:r>
        <w:t xml:space="preserve">BOD 26-04 VDR/VER deadline (December 7, 2026), and the split the whole program</w:t>
      </w:r>
      <w:r>
        <w:t xml:space="preserve"> </w:t>
      </w:r>
      <w:r>
        <w:t xml:space="preserve">turns on — the</w:t>
      </w:r>
      <w:r>
        <w:t xml:space="preserve"> </w:t>
      </w:r>
      <w:r>
        <w:rPr>
          <w:b/>
          <w:bCs/>
        </w:rPr>
        <w:t xml:space="preserve">evidence</w:t>
      </w:r>
      <w:r>
        <w:rPr>
          <w:b/>
          <w:bCs/>
        </w:rPr>
        <w:t xml:space="preserve"> </w:t>
      </w:r>
      <w:r>
        <w:rPr>
          <w:b/>
          <w:bCs/>
        </w:rPr>
        <w:t xml:space="preserve">generation layer</w:t>
      </w:r>
      <w:r>
        <w:t xml:space="preserve"> </w:t>
      </w:r>
      <w:r>
        <w:t xml:space="preserve">(the books of Volumes I–IV) versus the</w:t>
      </w:r>
      <w:r>
        <w:t xml:space="preserve"> </w:t>
      </w:r>
      <w:r>
        <w:rPr>
          <w:b/>
          <w:bCs/>
        </w:rPr>
        <w:t xml:space="preserve">evidence</w:t>
      </w:r>
      <w:r>
        <w:rPr>
          <w:b/>
          <w:bCs/>
        </w:rPr>
        <w:t xml:space="preserve"> </w:t>
      </w:r>
      <w:r>
        <w:rPr>
          <w:b/>
          <w:bCs/>
        </w:rPr>
        <w:t xml:space="preserve">governance layer</w:t>
      </w:r>
      <w:r>
        <w:t xml:space="preserve"> </w:t>
      </w:r>
      <w:r>
        <w:t xml:space="preserve">(the conformance adapter and OSCAL emitter that this track</w:t>
      </w:r>
      <w:r>
        <w:t xml:space="preserve"> </w:t>
      </w:r>
      <w:r>
        <w:t xml:space="preserve">reads).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write a one-page brief stating which control families the</w:t>
      </w:r>
      <w:r>
        <w:t xml:space="preserve"> </w:t>
      </w:r>
      <w:r>
        <w:t xml:space="preserve">corpus closes today, which were structurally absent until the governance and</w:t>
      </w:r>
      <w:r>
        <w:t xml:space="preserve"> </w:t>
      </w:r>
      <w:r>
        <w:t xml:space="preserve">training books (SR, PM, PT, AT — Vol IV Books 02, 03, 04, 05), and how Vol IV</w:t>
      </w:r>
      <w:r>
        <w:t xml:space="preserve"> </w:t>
      </w:r>
      <w:r>
        <w:t xml:space="preserve">Book 06 (Authorization Package &amp; ConMon) assembles the AP/AR/POA&amp;M package now</w:t>
      </w:r>
      <w:r>
        <w:t xml:space="preserve"> </w:t>
      </w:r>
      <w:r>
        <w:t xml:space="preserve">that all 29 internal KSI-decomposition rules are evaluable.</w:t>
      </w:r>
    </w:p>
    <w:p>
      <w:pPr>
        <w:pStyle w:val="FirstParagraph"/>
      </w:pPr>
      <w:r>
        <w:t xml:space="preserve">Orientation is the one module with no slot of its own. Its product is the mental</w:t>
      </w:r>
      <w:r>
        <w:t xml:space="preserve"> </w:t>
      </w:r>
      <w:r>
        <w:t xml:space="preserve">model every later module assumes: the corpus is a stack of</w:t>
      </w:r>
      <w:r>
        <w:t xml:space="preserve"> </w:t>
      </w:r>
      <w:r>
        <w:rPr>
          <w:i/>
          <w:iCs/>
        </w:rPr>
        <w:t xml:space="preserve">truth planes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enforcement planes</w:t>
      </w:r>
      <w:r>
        <w:t xml:space="preserve"> </w:t>
      </w:r>
      <w:r>
        <w:t xml:space="preserve">(Vol 0 Book 00’s Functional Plane Model), and evidence</w:t>
      </w:r>
      <w:r>
        <w:t xml:space="preserve"> </w:t>
      </w:r>
      <w:r>
        <w:t xml:space="preserve">flows from the truth planes into the eight slots. Get the timeline and the</w:t>
      </w:r>
      <w:r>
        <w:t xml:space="preserve"> </w:t>
      </w:r>
      <w:r>
        <w:t xml:space="preserve">generation-versus-governance split in your head before touching a slot.</w:t>
      </w:r>
    </w:p>
    <w:bookmarkEnd w:id="17"/>
    <w:bookmarkStart w:id="18" w:name="module-a1-identity-control-plane-slot-1"/>
    <w:p>
      <w:pPr>
        <w:pStyle w:val="Heading1"/>
      </w:pPr>
      <w:r>
        <w:t xml:space="preserve">Module A1 — Identity Control Plane (Slot 1)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03 (Certificates &amp; Tokens — the cryptographic credential</w:t>
      </w:r>
      <w:r>
        <w:t xml:space="preserve"> </w:t>
      </w:r>
      <w:r>
        <w:t xml:space="preserve">plane), Vol I Book 04 (HRIT Identity &amp; Org SSOT — the authoritative lifecycle</w:t>
      </w:r>
      <w:r>
        <w:t xml:space="preserve"> </w:t>
      </w:r>
      <w:r>
        <w:t xml:space="preserve">source), Vol I Book 05 (Network Modernization — Entra ID, ZTNA, active</w:t>
      </w:r>
      <w:r>
        <w:t xml:space="preserve"> </w:t>
      </w:r>
      <w:r>
        <w:t xml:space="preserve">governance), Vol II Book 01 (SQL Server Authentication Modernization), and</w:t>
      </w:r>
      <w:r>
        <w:t xml:space="preserve"> </w:t>
      </w:r>
      <w:r>
        <w:t xml:space="preserve">Vol III Book 01 (Privileged Access Management). Vol II Book 02 (SQL Server</w:t>
      </w:r>
      <w:r>
        <w:t xml:space="preserve"> </w:t>
      </w:r>
      <w:r>
        <w:t xml:space="preserve">Implementation) is the procedural companion.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IA-2 (+enhancements 1, 2, 6), IA-5, IA-11, AC-2 (+1), AC-3,</w:t>
      </w:r>
      <w:r>
        <w:t xml:space="preserve"> </w:t>
      </w:r>
      <w:r>
        <w:t xml:space="preserve">AC-5, the AC-6 family, AC-17, CA-7.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KSI-IAM</w:t>
      </w:r>
      <w:r>
        <w:t xml:space="preserve"> </w:t>
      </w:r>
      <w:r>
        <w:t xml:space="preserve">— anchor</w:t>
      </w:r>
      <w:r>
        <w:t xml:space="preserve"> </w:t>
      </w:r>
      <w:r>
        <w:rPr>
          <w:rStyle w:val="VerbatimChar"/>
        </w:rPr>
        <w:t xml:space="preserve">IA-2 / AC-2</w:t>
      </w:r>
      <w:r>
        <w:t xml:space="preserve">; evidence source:</w:t>
      </w:r>
      <w:r>
        <w:t xml:space="preserve"> </w:t>
      </w:r>
      <w:r>
        <w:t xml:space="preserve">identity-provider sign-in and risk logs.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for one privileged role, trace the full chain — Vol III</w:t>
      </w:r>
      <w:r>
        <w:t xml:space="preserve"> </w:t>
      </w:r>
      <w:r>
        <w:t xml:space="preserve">Book 01’s PIM design → the AC-6 enhancement it closes → the KSI-IAM rule that</w:t>
      </w:r>
      <w:r>
        <w:t xml:space="preserve"> </w:t>
      </w:r>
      <w:r>
        <w:t xml:space="preserve">scores it → the sign-in/audit-log evidence the collector ingests.</w:t>
      </w:r>
    </w:p>
    <w:p>
      <w:pPr>
        <w:pStyle w:val="FirstParagraph"/>
      </w:pPr>
      <w:r>
        <w:t xml:space="preserve">Slot 1 is where the series’ identity doctrine lands as evidence. Two books bind</w:t>
      </w:r>
      <w:r>
        <w:t xml:space="preserve"> </w:t>
      </w:r>
      <w:r>
        <w:t xml:space="preserve">it by their own control-closure statements: Vol I Book 03 supplies the</w:t>
      </w:r>
      <w:r>
        <w:t xml:space="preserve"> </w:t>
      </w:r>
      <w:r>
        <w:t xml:space="preserve">credential layer (IA-5(2), SC-12/SC-17 — certificates, tokens, and</w:t>
      </w:r>
      <w:r>
        <w:t xml:space="preserve"> </w:t>
      </w:r>
      <w:r>
        <w:t xml:space="preserve">phishing-resistant MFA), and Vol I Book 04 supplies the lifecycle source of</w:t>
      </w:r>
      <w:r>
        <w:t xml:space="preserve"> </w:t>
      </w:r>
      <w:r>
        <w:t xml:space="preserve">truth (AC-2, PS-4/PS-5, IA-4 — HR-driven joiner/mover/leaver). The remaining</w:t>
      </w:r>
      <w:r>
        <w:t xml:space="preserve"> </w:t>
      </w:r>
      <w:r>
        <w:t xml:space="preserve">books apply that identity: Entra/ZTNA modernization, database authentication,</w:t>
      </w:r>
      <w:r>
        <w:t xml:space="preserve"> </w:t>
      </w:r>
      <w:r>
        <w:t xml:space="preserve">and the elimination of standing privilege.</w:t>
      </w:r>
    </w:p>
    <w:p>
      <w:pPr>
        <w:pStyle w:val="BlockText"/>
      </w:pPr>
      <w:r>
        <w:rPr>
          <w:b/>
          <w:bCs/>
        </w:rPr>
        <w:t xml:space="preserve">Closure Necessity — IA-2 cannot be closed by a scanner.</w:t>
      </w:r>
      <w:r>
        <w:t xml:space="preserve"> </w:t>
      </w:r>
      <w:r>
        <w:t xml:space="preserve">IA-2 requires the</w:t>
      </w:r>
      <w:r>
        <w:t xml:space="preserve"> </w:t>
      </w:r>
      <w:r>
        <w:t xml:space="preserve">system to uniquely identify and authenticate organizational users. A scanner</w:t>
      </w:r>
      <w:r>
        <w:t xml:space="preserve"> </w:t>
      </w:r>
      <w:r>
        <w:t xml:space="preserve">can report that MFA</w:t>
      </w:r>
      <w:r>
        <w:t xml:space="preserve"> </w:t>
      </w:r>
      <w:r>
        <w:rPr>
          <w:i/>
          <w:iCs/>
        </w:rPr>
        <w:t xml:space="preserve">policy</w:t>
      </w:r>
      <w:r>
        <w:t xml:space="preserve"> </w:t>
      </w:r>
      <w:r>
        <w:t xml:space="preserve">exists; it cannot produce the sign-in evidence</w:t>
      </w:r>
      <w:r>
        <w:t xml:space="preserve"> </w:t>
      </w:r>
      <w:r>
        <w:t xml:space="preserve">that a specific authentication was phishing-resistant and risk-evaluated. Only</w:t>
      </w:r>
      <w:r>
        <w:t xml:space="preserve"> </w:t>
      </w:r>
      <w:r>
        <w:t xml:space="preserve">the identity provider that performed the authentication emits that record — so</w:t>
      </w:r>
      <w:r>
        <w:t xml:space="preserve"> </w:t>
      </w:r>
      <w:r>
        <w:t xml:space="preserve">the closure is bound to the IdP’s sign-in and risk logs, and the KSI-IAM rule</w:t>
      </w:r>
      <w:r>
        <w:t xml:space="preserve"> </w:t>
      </w:r>
      <w:r>
        <w:t xml:space="preserve">reads exactly those. No configuration export substitutes for the event.</w:t>
      </w:r>
    </w:p>
    <w:bookmarkEnd w:id="18"/>
    <w:bookmarkStart w:id="19" w:name="Xb5a34ecd1d1185e08f2bf85b8c8aff691a16ee3"/>
    <w:p>
      <w:pPr>
        <w:pStyle w:val="Heading1"/>
      </w:pPr>
      <w:r>
        <w:t xml:space="preserve">Module A2 — Addressing Control Plane (Slot 2)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01 (Agency Landing Zone, IPAM &amp; FedRAMP) — the Infoblox DDI</w:t>
      </w:r>
      <w:r>
        <w:t xml:space="preserve"> </w:t>
      </w:r>
      <w:r>
        <w:t xml:space="preserve">naming/addressing plane: IPAM, DNS, DHCP, PKI issuance.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CM-8, AC-4 anchors; Vol I Book 01 closes sixteen controls per the</w:t>
      </w:r>
      <w:r>
        <w:t xml:space="preserve"> </w:t>
      </w:r>
      <w:r>
        <w:t xml:space="preserve">gap roadmap.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KSI-PIY</w:t>
      </w:r>
      <w:r>
        <w:t xml:space="preserve"> </w:t>
      </w:r>
      <w:r>
        <w:t xml:space="preserve">(addressing/inventory evidence).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produce the address-inventory evidence statement — what the DDI</w:t>
      </w:r>
      <w:r>
        <w:t xml:space="preserve"> </w:t>
      </w:r>
      <w:r>
        <w:t xml:space="preserve">platform attests (authoritative IPAM inventory), which CM-8 requirements that</w:t>
      </w:r>
      <w:r>
        <w:t xml:space="preserve"> </w:t>
      </w:r>
      <w:r>
        <w:t xml:space="preserve">satisfies, and where the evidence lands in the slot-02 mapping.</w:t>
      </w:r>
    </w:p>
    <w:p>
      <w:pPr>
        <w:pStyle w:val="FirstParagraph"/>
      </w:pPr>
      <w:r>
        <w:t xml:space="preserve">Slot 2 is the join key for the whole program. The naming/addressing plane is the</w:t>
      </w:r>
      <w:r>
        <w:t xml:space="preserve"> </w:t>
      </w:r>
      <w:r>
        <w:t xml:space="preserve">one plane every component must touch to function at all, so it is the only</w:t>
      </w:r>
      <w:r>
        <w:t xml:space="preserve"> </w:t>
      </w:r>
      <w:r>
        <w:t xml:space="preserve">authoritative CM-8 inventory — the correlation anchor the Multi-Cloud Evidence</w:t>
      </w:r>
      <w:r>
        <w:t xml:space="preserve"> </w:t>
      </w:r>
      <w:r>
        <w:t xml:space="preserve">Fabric (Vol III Book 07) later reconciles five management stacks against. Vol I</w:t>
      </w:r>
      <w:r>
        <w:t xml:space="preserve"> </w:t>
      </w:r>
      <w:r>
        <w:t xml:space="preserve">Book 02 (Network Access Control) feeds this slot the device-identity-at-the-port</w:t>
      </w:r>
      <w:r>
        <w:t xml:space="preserve"> </w:t>
      </w:r>
      <w:r>
        <w:t xml:space="preserve">surface (IA-3, CM-8); its formal slot binding is pending the adapter mapping</w:t>
      </w:r>
      <w:r>
        <w:t xml:space="preserve"> </w:t>
      </w:r>
      <w:r>
        <w:t xml:space="preserve">refresh, so teach it as the enumeration-completeness argument, not yet as a</w:t>
      </w:r>
      <w:r>
        <w:t xml:space="preserve"> </w:t>
      </w:r>
      <w:r>
        <w:t xml:space="preserve">bound evidence source.</w:t>
      </w:r>
    </w:p>
    <w:bookmarkEnd w:id="19"/>
    <w:bookmarkStart w:id="20" w:name="module-a3-network-control-plane-slot-3"/>
    <w:p>
      <w:pPr>
        <w:pStyle w:val="Heading1"/>
      </w:pPr>
      <w:r>
        <w:t xml:space="preserve">Module A3 — Network Control Plane (Slot 3)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05 (Network Modernization — SD-WAN, SASE, UC), Vol I</w:t>
      </w:r>
      <w:r>
        <w:t xml:space="preserve"> </w:t>
      </w:r>
      <w:r>
        <w:t xml:space="preserve">Book 06 (Federal Telecommunications Modernization — TIC 3.0), Vol I Book 07</w:t>
      </w:r>
      <w:r>
        <w:t xml:space="preserve"> </w:t>
      </w:r>
      <w:r>
        <w:t xml:space="preserve">(Network Enforcement Substrate — the customer-owned edge), and Vol II Book 03</w:t>
      </w:r>
      <w:r>
        <w:t xml:space="preserve"> </w:t>
      </w:r>
      <w:r>
        <w:t xml:space="preserve">(Database Consolidation &amp; Network Physics).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SC-8, SC-7, CA-7 anchors; SC/SI depth from Vol II Book 03.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KSI-CNA</w:t>
      </w:r>
      <w:r>
        <w:t xml:space="preserve"> </w:t>
      </w:r>
      <w:r>
        <w:t xml:space="preserve">(network architecture evidence).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map one application-aware path policy (SD-WAN/SASE) to SC-8</w:t>
      </w:r>
      <w:r>
        <w:t xml:space="preserve"> </w:t>
      </w:r>
      <w:r>
        <w:t xml:space="preserve">transmission protection and show which continuous-monitoring signal (CA-7)</w:t>
      </w:r>
      <w:r>
        <w:t xml:space="preserve"> </w:t>
      </w:r>
      <w:r>
        <w:t xml:space="preserve">proves it stays enforced.</w:t>
      </w:r>
    </w:p>
    <w:p>
      <w:pPr>
        <w:pStyle w:val="FirstParagraph"/>
      </w:pPr>
      <w:r>
        <w:t xml:space="preserve">Slot 3 is where the series’ hardest doctrine lives:</w:t>
      </w:r>
      <w:r>
        <w:t xml:space="preserve"> </w:t>
      </w:r>
      <w:r>
        <w:rPr>
          <w:b/>
          <w:bCs/>
        </w:rPr>
        <w:t xml:space="preserve">DIA fixes nothing</w:t>
      </w:r>
      <w:r>
        <w:t xml:space="preserve"> </w:t>
      </w:r>
      <w:r>
        <w:t xml:space="preserve">(Vol 0</w:t>
      </w:r>
      <w:r>
        <w:t xml:space="preserve"> </w:t>
      </w:r>
      <w:r>
        <w:t xml:space="preserve">Book 00, Theme B). A bare internet circuit satisfies zero controls; every</w:t>
      </w:r>
      <w:r>
        <w:t xml:space="preserve"> </w:t>
      </w:r>
      <w:r>
        <w:t xml:space="preserve">control claimed near it — SC-7, SC-8, AC-4, SI-4, CA-7 — is closed by the</w:t>
      </w:r>
      <w:r>
        <w:t xml:space="preserve"> </w:t>
      </w:r>
      <w:r>
        <w:t xml:space="preserve">SD-WAN/SASE/TIC 3.0 stack that governs the pipe, never by the pipe. Vol I</w:t>
      </w:r>
      <w:r>
        <w:t xml:space="preserve"> </w:t>
      </w:r>
      <w:r>
        <w:t xml:space="preserve">Book 07 is the customer-owned half of SC-7/SC-8 that no CSP’s FedRAMP</w:t>
      </w:r>
      <w:r>
        <w:t xml:space="preserve"> </w:t>
      </w:r>
      <w:r>
        <w:t xml:space="preserve">authorization covers — the branch firewall and WAN edge the agency accredits</w:t>
      </w:r>
      <w:r>
        <w:t xml:space="preserve"> </w:t>
      </w:r>
      <w:r>
        <w:t xml:space="preserve">through NIAP / DISA STIG / FIPS 140-3 / DoDIN APL (Theme F). Teach slot 3 as the</w:t>
      </w:r>
      <w:r>
        <w:t xml:space="preserve"> </w:t>
      </w:r>
      <w:r>
        <w:t xml:space="preserve">proof that transport policy is a control surface and the pipe is not.</w:t>
      </w:r>
    </w:p>
    <w:bookmarkEnd w:id="20"/>
    <w:bookmarkStart w:id="21" w:name="module-a4-telemetry-control-plane-slot-4"/>
    <w:p>
      <w:pPr>
        <w:pStyle w:val="Heading1"/>
      </w:pPr>
      <w:r>
        <w:t xml:space="preserve">Module A4 — Telemetry Control Plane (Slot 4)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III Book 02 (Vulnerability Management — Defender VM + KEV),</w:t>
      </w:r>
      <w:r>
        <w:t xml:space="preserve"> </w:t>
      </w:r>
      <w:r>
        <w:t xml:space="preserve">Vol III Book 05 (Data Protection — Purview + Key Vault CMK), Vol III Book 06</w:t>
      </w:r>
      <w:r>
        <w:t xml:space="preserve"> </w:t>
      </w:r>
      <w:r>
        <w:t xml:space="preserve">(SIEM / XDR Detection — Sentinel), and Vol III Book 07 (Multi-Cloud Evidence</w:t>
      </w:r>
      <w:r>
        <w:t xml:space="preserve"> </w:t>
      </w:r>
      <w:r>
        <w:t xml:space="preserve">Fabric — the correlated evidence lake).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CA-7, SI-4 anchors; the RA-5 family, SI-2, AU-6/7/8/11,</w:t>
      </w:r>
      <w:r>
        <w:t xml:space="preserve"> </w:t>
      </w:r>
      <w:r>
        <w:t xml:space="preserve">IR-4/6/8.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KSI-MLA</w:t>
      </w:r>
      <w:r>
        <w:t xml:space="preserve"> </w:t>
      </w:r>
      <w:r>
        <w:t xml:space="preserve">(monitoring / logging / audit evidence).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pick one KEV-listed CVE scenario and trace — Defender VM</w:t>
      </w:r>
      <w:r>
        <w:t xml:space="preserve"> </w:t>
      </w:r>
      <w:r>
        <w:t xml:space="preserve">finding (Vol III Book 02) → Sentinel analytic + incident (Vol III Book 06) →</w:t>
      </w:r>
      <w:r>
        <w:t xml:space="preserve"> </w:t>
      </w:r>
      <w:r>
        <w:t xml:space="preserve">the SI-4 / RA-5 closure statement, with the audit-retention argument from</w:t>
      </w:r>
      <w:r>
        <w:t xml:space="preserve"> </w:t>
      </w:r>
      <w:r>
        <w:t xml:space="preserve">AU-11.</w:t>
      </w:r>
    </w:p>
    <w:p>
      <w:pPr>
        <w:pStyle w:val="FirstParagraph"/>
      </w:pPr>
      <w:r>
        <w:t xml:space="preserve">Slot 4 is the telemetry spine, and Vol III Book 07 is what makes it evaluable</w:t>
      </w:r>
      <w:r>
        <w:t xml:space="preserve"> </w:t>
      </w:r>
      <w:r>
        <w:t xml:space="preserve">across a genuinely multi-cloud estate: five native stacks actuate, but their</w:t>
      </w:r>
      <w:r>
        <w:t xml:space="preserve"> </w:t>
      </w:r>
      <w:r>
        <w:t xml:space="preserve">records join one machine-readable evidence lake that flows to CISA CDM and the</w:t>
      </w:r>
      <w:r>
        <w:t xml:space="preserve"> </w:t>
      </w:r>
      <w:r>
        <w:t xml:space="preserve">KSI pipeline. The assessor’s skill here is following a single finding across the</w:t>
      </w:r>
      <w:r>
        <w:t xml:space="preserve"> </w:t>
      </w:r>
      <w:r>
        <w:t xml:space="preserve">seam from actuation to correlated evidence.</w:t>
      </w:r>
    </w:p>
    <w:bookmarkEnd w:id="21"/>
    <w:bookmarkStart w:id="22" w:name="module-a5-endpoint-control-plane-slot-5"/>
    <w:p>
      <w:pPr>
        <w:pStyle w:val="Heading1"/>
      </w:pPr>
      <w:r>
        <w:t xml:space="preserve">Module A5 — Endpoint Control Plane (Slot 5)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02 (NAC — device identity at the port), Vol III Book 01</w:t>
      </w:r>
      <w:r>
        <w:t xml:space="preserve"> </w:t>
      </w:r>
      <w:r>
        <w:t xml:space="preserve">(PAW sections), Vol III Book 03 (Patch &amp; Systems Management), Vol III Book 04</w:t>
      </w:r>
      <w:r>
        <w:t xml:space="preserve"> </w:t>
      </w:r>
      <w:r>
        <w:t xml:space="preserve">(Cloud-Native Security Posture), and Vol IV Book 04 (PII Processing &amp;</w:t>
      </w:r>
      <w:r>
        <w:t xml:space="preserve"> </w:t>
      </w:r>
      <w:r>
        <w:t xml:space="preserve">Transparency).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CM-8, IA-3 anchors; SI-2 (remediation) from Vol III Book 03;</w:t>
      </w:r>
      <w:r>
        <w:t xml:space="preserve"> </w:t>
      </w:r>
      <w:r>
        <w:t xml:space="preserve">CSPM/CNAPP exposure from Vol III Book 04; PT-family entry points from Vol IV</w:t>
      </w:r>
      <w:r>
        <w:t xml:space="preserve"> </w:t>
      </w:r>
      <w:r>
        <w:t xml:space="preserve">Book 04.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KSI-PIY</w:t>
      </w:r>
      <w:r>
        <w:t xml:space="preserve"> </w:t>
      </w:r>
      <w:r>
        <w:t xml:space="preserve">(endpoint inventory evidence).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write the endpoint-inventory evidence statement covering device</w:t>
      </w:r>
      <w:r>
        <w:t xml:space="preserve"> </w:t>
      </w:r>
      <w:r>
        <w:t xml:space="preserve">identity (IA-3), inventory completeness (CM-8), remediation actuation (SI-2),</w:t>
      </w:r>
      <w:r>
        <w:t xml:space="preserve"> </w:t>
      </w:r>
      <w:r>
        <w:t xml:space="preserve">and where PII-handling endpoints get the Vol IV Book 04 transparency treatment.</w:t>
      </w:r>
    </w:p>
    <w:p>
      <w:pPr>
        <w:pStyle w:val="FirstParagraph"/>
      </w:pPr>
      <w:r>
        <w:t xml:space="preserve">Slot 5 is the</w:t>
      </w:r>
      <w:r>
        <w:t xml:space="preserve"> </w:t>
      </w:r>
      <w:r>
        <w:rPr>
          <w:i/>
          <w:iCs/>
        </w:rPr>
        <w:t xml:space="preserve">close-it</w:t>
      </w:r>
      <w:r>
        <w:t xml:space="preserve"> </w:t>
      </w:r>
      <w:r>
        <w:t xml:space="preserve">counterpart to slot 4’s</w:t>
      </w:r>
      <w:r>
        <w:t xml:space="preserve"> </w:t>
      </w:r>
      <w:r>
        <w:rPr>
          <w:i/>
          <w:iCs/>
        </w:rPr>
        <w:t xml:space="preserve">scan-it</w:t>
      </w:r>
      <w:r>
        <w:t xml:space="preserve">: Vol III Book 02</w:t>
      </w:r>
      <w:r>
        <w:t xml:space="preserve"> </w:t>
      </w:r>
      <w:r>
        <w:t xml:space="preserve">assesses and prioritizes (RA-5), Vol III Book 03 remediates across the CSP × OS</w:t>
      </w:r>
      <w:r>
        <w:t xml:space="preserve"> </w:t>
      </w:r>
      <w:r>
        <w:t xml:space="preserve">matrix (SI-2), and Vol III Book 04 covers the container and posture surface the</w:t>
      </w:r>
      <w:r>
        <w:t xml:space="preserve"> </w:t>
      </w:r>
      <w:r>
        <w:t xml:space="preserve">OS-level view misses. The endpoint inventory is only authoritative when it</w:t>
      </w:r>
      <w:r>
        <w:t xml:space="preserve"> </w:t>
      </w:r>
      <w:r>
        <w:t xml:space="preserve">enumerates managed and unmanaged devices alike — the enumeration-completeness</w:t>
      </w:r>
      <w:r>
        <w:t xml:space="preserve"> </w:t>
      </w:r>
      <w:r>
        <w:t xml:space="preserve">argument that ties back to the slot-2 addressing plane.</w:t>
      </w:r>
    </w:p>
    <w:bookmarkEnd w:id="22"/>
    <w:bookmarkStart w:id="23" w:name="X0085c5531c42095aecc208d54e1e4c719fb0297"/>
    <w:p>
      <w:pPr>
        <w:pStyle w:val="Heading1"/>
      </w:pPr>
      <w:r>
        <w:t xml:space="preserve">Module A6 — Security Configuration &amp; Change Control Plane (Slot 6)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III Book 04 (secure configuration / posture surface), Vol III</w:t>
      </w:r>
      <w:r>
        <w:t xml:space="preserve"> </w:t>
      </w:r>
      <w:r>
        <w:t xml:space="preserve">Book 06 (detection as change evidence), Vol IV Book 02 (Supply Chain Risk</w:t>
      </w:r>
      <w:r>
        <w:t xml:space="preserve"> </w:t>
      </w:r>
      <w:r>
        <w:t xml:space="preserve">Management), and Vol IV Book 03 (Program Management &amp; Governance).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CM-2, AC-4 anchors; SR-1/2/3/5/6/8/10/11 from Vol IV Book 02;</w:t>
      </w:r>
      <w:r>
        <w:t xml:space="preserve"> </w:t>
      </w:r>
      <w:r>
        <w:t xml:space="preserve">the PM family from Vol IV Book 03.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KSI-CMT</w:t>
      </w:r>
      <w:r>
        <w:t xml:space="preserve"> </w:t>
      </w:r>
      <w:r>
        <w:t xml:space="preserve">(configuration / change-management evidence);</w:t>
      </w:r>
      <w:r>
        <w:t xml:space="preserve"> </w:t>
      </w:r>
      <w:r>
        <w:t xml:space="preserve">KSI-011–014 were activated by the Vol IV Book 02 SBOM/VDR/VER evidence</w:t>
      </w:r>
      <w:r>
        <w:t xml:space="preserve"> </w:t>
      </w:r>
      <w:r>
        <w:t xml:space="preserve">contract — the BOD 26-04 VDR/VER in-force date (December 7, 2026) remains the</w:t>
      </w:r>
      <w:r>
        <w:t xml:space="preserve"> </w:t>
      </w:r>
      <w:r>
        <w:t xml:space="preserve">operational cadence Vol IV Book 06 runs.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state the Vol IV Book 02 SBOM evidence-contract story — which</w:t>
      </w:r>
      <w:r>
        <w:t xml:space="preserve"> </w:t>
      </w:r>
      <w:r>
        <w:t xml:space="preserve">SBOM artifacts Vol IV Book 02 requires, which KSI rules they activated, and how the Vol IV</w:t>
      </w:r>
      <w:r>
        <w:t xml:space="preserve"> </w:t>
      </w:r>
      <w:r>
        <w:t xml:space="preserve">Book 06 ConMon calendar keeps that evidence fresh.</w:t>
      </w:r>
    </w:p>
    <w:p>
      <w:pPr>
        <w:pStyle w:val="FirstParagraph"/>
      </w:pPr>
      <w:r>
        <w:t xml:space="preserve">Slot 6 is where configuration truth and supply-chain provenance meet governance.</w:t>
      </w:r>
      <w:r>
        <w:t xml:space="preserve"> </w:t>
      </w:r>
      <w:r>
        <w:t xml:space="preserve">The SBOM/VDR/VER contract is the concrete artifact chain (Syft → Grype → OpenVEX);</w:t>
      </w:r>
      <w:r>
        <w:t xml:space="preserve"> </w:t>
      </w:r>
      <w:r>
        <w:t xml:space="preserve">the PM family is the charter that makes the whole program auditable. Teach the</w:t>
      </w:r>
      <w:r>
        <w:t xml:space="preserve"> </w:t>
      </w:r>
      <w:r>
        <w:t xml:space="preserve">BOD 26-04 clock as the forcing function that turned KSI-011–014 from scaffold</w:t>
      </w:r>
      <w:r>
        <w:t xml:space="preserve"> </w:t>
      </w:r>
      <w:r>
        <w:t xml:space="preserve">into evaluable rules.</w:t>
      </w:r>
    </w:p>
    <w:bookmarkEnd w:id="23"/>
    <w:bookmarkStart w:id="24" w:name="X1513c84e9d3a249132934521b6aa22b450896d8"/>
    <w:p>
      <w:pPr>
        <w:pStyle w:val="Heading1"/>
      </w:pPr>
      <w:r>
        <w:t xml:space="preserve">Module A7 — Continuity Control Plane (Slot 7)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IV Book 01 (Business Continuity).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CP-2 (+3 enhancements), CP-3, CP-4 (+1), CP-6, CP-7 (+3),</w:t>
      </w:r>
      <w:r>
        <w:t xml:space="preserve"> </w:t>
      </w:r>
      <w:r>
        <w:t xml:space="preserve">CP-8 (+2).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KSI-RPL</w:t>
      </w:r>
      <w:r>
        <w:t xml:space="preserve"> </w:t>
      </w:r>
      <w:r>
        <w:t xml:space="preserve">(recovery / resilience evidence).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map one contingency-test exercise to CP-4 and show the slot-07</w:t>
      </w:r>
      <w:r>
        <w:t xml:space="preserve"> </w:t>
      </w:r>
      <w:r>
        <w:t xml:space="preserve">continuity binding that carries it into the KSI evaluation. A tabletop</w:t>
      </w:r>
      <w:r>
        <w:t xml:space="preserve"> </w:t>
      </w:r>
      <w:r>
        <w:t xml:space="preserve">after-action report with findings and named owners is the evidence; a</w:t>
      </w:r>
      <w:r>
        <w:t xml:space="preserve"> </w:t>
      </w:r>
      <w:r>
        <w:t xml:space="preserve">zero-finding report is not evidence of resilience, it is evidence the test was</w:t>
      </w:r>
      <w:r>
        <w:t xml:space="preserve"> </w:t>
      </w:r>
      <w:r>
        <w:t xml:space="preserve">not real.</w:t>
      </w:r>
    </w:p>
    <w:p>
      <w:pPr>
        <w:pStyle w:val="FirstParagraph"/>
      </w:pPr>
      <w:r>
        <w:t xml:space="preserve">Slot 7 is the smallest by book count and the easiest to fake. The discipline the</w:t>
      </w:r>
      <w:r>
        <w:t xml:space="preserve"> </w:t>
      </w:r>
      <w:r>
        <w:t xml:space="preserve">module teaches is that continuity evidence is the</w:t>
      </w:r>
      <w:r>
        <w:t xml:space="preserve"> </w:t>
      </w:r>
      <w:r>
        <w:rPr>
          <w:i/>
          <w:iCs/>
        </w:rPr>
        <w:t xml:space="preserve">test result</w:t>
      </w:r>
      <w:r>
        <w:t xml:space="preserve">, not the plan —</w:t>
      </w:r>
      <w:r>
        <w:t xml:space="preserve"> </w:t>
      </w:r>
      <w:r>
        <w:t xml:space="preserve">CP-4 closure is a contingency exercise that produced findings, bound to slot-07,</w:t>
      </w:r>
      <w:r>
        <w:t xml:space="preserve"> </w:t>
      </w:r>
      <w:r>
        <w:t xml:space="preserve">not a CP-2 document that asserts a capability.</w:t>
      </w:r>
    </w:p>
    <w:bookmarkEnd w:id="24"/>
    <w:bookmarkStart w:id="25" w:name="module-a8-training-control-plane-slot-8"/>
    <w:p>
      <w:pPr>
        <w:pStyle w:val="Heading1"/>
      </w:pPr>
      <w:r>
        <w:t xml:space="preserve">Module A8 — Training Control Plane (Slot 8)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IV Book 05 (Cybersecurity Training &amp; Awareness). Vol IV Book 06’s</w:t>
      </w:r>
      <w:r>
        <w:t xml:space="preserve"> </w:t>
      </w:r>
      <w:r>
        <w:t xml:space="preserve">freshness rules and ConMon calendar are the operating context.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AT-2 (+1, +2), AT-3 (+3, +5), AT-4, CP-3, IR-2; SA-16 for</w:t>
      </w:r>
      <w:r>
        <w:t xml:space="preserve"> </w:t>
      </w:r>
      <w:r>
        <w:t xml:space="preserve">secure-delivery training.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KSI-CED</w:t>
      </w:r>
      <w:r>
        <w:t xml:space="preserve"> </w:t>
      </w:r>
      <w:r>
        <w:t xml:space="preserve">— KSI-CED-RAT (KSI-022), the last CR26 rule to</w:t>
      </w:r>
      <w:r>
        <w:t xml:space="preserve"> </w:t>
      </w:r>
      <w:r>
        <w:t xml:space="preserve">activate; evidence source: the machine-readable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 </w:t>
      </w:r>
      <w:r>
        <w:t xml:space="preserve">JSON exported monthly from the LMS.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trace one role tier through the four training dimensions — the</w:t>
      </w:r>
      <w:r>
        <w:t xml:space="preserve"> </w:t>
      </w:r>
      <w:r>
        <w:t xml:space="preserve">AT-3 matrix row → the completion thresholds (≥95%) → the JSON record fields</w:t>
      </w:r>
      <w:r>
        <w:t xml:space="preserve"> </w:t>
      </w:r>
      <w:r>
        <w:t xml:space="preserve">that carry it → the KSI-022 PASS logic.</w:t>
      </w:r>
    </w:p>
    <w:p>
      <w:pPr>
        <w:pStyle w:val="FirstParagraph"/>
      </w:pPr>
      <w:r>
        <w:t xml:space="preserve">Slot 8 is the slot Volume V both teaches and</w:t>
      </w:r>
      <w:r>
        <w:t xml:space="preserve"> </w:t>
      </w:r>
      <w:r>
        <w:rPr>
          <w:i/>
          <w:iCs/>
        </w:rPr>
        <w:t xml:space="preserve">is</w:t>
      </w:r>
      <w:r>
        <w:t xml:space="preserve">: this compliance track and its</w:t>
      </w:r>
      <w:r>
        <w:t xml:space="preserve"> </w:t>
      </w:r>
      <w:r>
        <w:t xml:space="preserve">implementation counterpart are the training program whose completion record</w:t>
      </w:r>
      <w:r>
        <w:t xml:space="preserve"> </w:t>
      </w:r>
      <w:r>
        <w:t xml:space="preserve">closes AT-2/AT-3 and evaluates KSI-CED. The module’s discipline is that the</w:t>
      </w:r>
      <w:r>
        <w:t xml:space="preserve"> </w:t>
      </w:r>
      <w:r>
        <w:t xml:space="preserve">evidence is per-identity and machine-readable — aggregate completion statistics</w:t>
      </w:r>
      <w:r>
        <w:t xml:space="preserve"> </w:t>
      </w:r>
      <w:r>
        <w:t xml:space="preserve">do not satisfy KSI-022; the record must carry per-role, per-identity results with</w:t>
      </w:r>
      <w:r>
        <w:t xml:space="preserve"> </w:t>
      </w:r>
      <w:r>
        <w:t xml:space="preserve">dates inside the freshness window.</w:t>
      </w:r>
    </w:p>
    <w:bookmarkEnd w:id="25"/>
    <w:bookmarkStart w:id="26" w:name="the-capstone-the-eight-slot-walk"/>
    <w:p>
      <w:pPr>
        <w:pStyle w:val="Heading1"/>
      </w:pPr>
      <w:r>
        <w:t xml:space="preserve">The Capstone — the Eight-Slot Walk</w:t>
      </w:r>
    </w:p>
    <w:p>
      <w:pPr>
        <w:pStyle w:val="FirstParagraph"/>
      </w:pPr>
      <w:r>
        <w:t xml:space="preserve">Produce a single document (or an annotated</w:t>
      </w:r>
      <w:r>
        <w:t xml:space="preserve"> </w:t>
      </w:r>
      <w:r>
        <w:rPr>
          <w:rStyle w:val="VerbatimChar"/>
        </w:rPr>
        <w:t xml:space="preserve">&lt;engine&gt; oscal ksi-ar</w:t>
      </w:r>
      <w:r>
        <w:t xml:space="preserve"> </w:t>
      </w:r>
      <w:r>
        <w:t xml:space="preserve">export) that, for</w:t>
      </w:r>
      <w:r>
        <w:t xml:space="preserve"> </w:t>
      </w:r>
      <w:r>
        <w:rPr>
          <w:b/>
          <w:bCs/>
        </w:rPr>
        <w:t xml:space="preserve">all eight slots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names the feeding books by volume coordinate,</w:t>
      </w:r>
    </w:p>
    <w:p>
      <w:pPr>
        <w:pStyle w:val="Compact"/>
        <w:numPr>
          <w:ilvl w:val="0"/>
          <w:numId w:val="1011"/>
        </w:numPr>
      </w:pPr>
      <w:r>
        <w:t xml:space="preserve">lists the anchor controls and the closure status,</w:t>
      </w:r>
    </w:p>
    <w:p>
      <w:pPr>
        <w:pStyle w:val="Compact"/>
        <w:numPr>
          <w:ilvl w:val="0"/>
          <w:numId w:val="1011"/>
        </w:numPr>
      </w:pPr>
      <w:r>
        <w:t xml:space="preserve">shows the per-KSI verdict (satisfied / not-satisfied / not-evaluated) from a</w:t>
      </w:r>
      <w:r>
        <w:t xml:space="preserve"> </w:t>
      </w:r>
      <w:r>
        <w:t xml:space="preserve">real</w:t>
      </w:r>
      <w:r>
        <w:t xml:space="preserve"> </w:t>
      </w:r>
      <w:r>
        <w:rPr>
          <w:rStyle w:val="VerbatimChar"/>
        </w:rPr>
        <w:t xml:space="preserve">&lt;engine&gt; oscal ksi-ar</w:t>
      </w:r>
      <w:r>
        <w:t xml:space="preserve"> </w:t>
      </w:r>
      <w:r>
        <w:t xml:space="preserve">run, and</w:t>
      </w:r>
    </w:p>
    <w:p>
      <w:pPr>
        <w:pStyle w:val="Compact"/>
        <w:numPr>
          <w:ilvl w:val="0"/>
          <w:numId w:val="1011"/>
        </w:numPr>
      </w:pPr>
      <w:r>
        <w:t xml:space="preserve">states the gap and its deadline for anything not-evaluated or stale (Vol IV</w:t>
      </w:r>
      <w:r>
        <w:t xml:space="preserve"> </w:t>
      </w:r>
      <w:r>
        <w:t xml:space="preserve">Book 06 defines per-slot evidence freshness rules).</w:t>
      </w:r>
    </w:p>
    <w:p>
      <w:pPr>
        <w:pStyle w:val="FirstParagraph"/>
      </w:pPr>
      <w:r>
        <w:t xml:space="preserve">That document is the Track A completion artifact — it is, deliberately, the</w:t>
      </w:r>
      <w:r>
        <w:t xml:space="preserve"> </w:t>
      </w:r>
      <w:r>
        <w:t xml:space="preserve">skeleton of a ConMon narrative an assessor could read. Score it against Vol V</w:t>
      </w:r>
      <w:r>
        <w:t xml:space="preserve"> </w:t>
      </w:r>
      <w:r>
        <w:t xml:space="preserve">Book 03 (Assessment, Rubrics &amp; Certification): a pass is every slot at level 2 or</w:t>
      </w:r>
      <w:r>
        <w:t xml:space="preserve"> </w:t>
      </w:r>
      <w:r>
        <w:t xml:space="preserve">higher, with at least three slots assessor-ready (level 3).</w:t>
      </w:r>
    </w:p>
    <w:bookmarkEnd w:id="26"/>
    <w:bookmarkStart w:id="27" w:name="Xa7f15d5d9a1e276fa908a8d3cd58ba4c7455204"/>
    <w:p>
      <w:pPr>
        <w:pStyle w:val="Heading1"/>
      </w:pPr>
      <w:r>
        <w:t xml:space="preserve">The Eight Evidence Slots — Controls and KSIs</w:t>
      </w:r>
    </w:p>
    <w:p>
      <w:pPr>
        <w:pStyle w:val="FirstParagraph"/>
      </w:pPr>
      <w:r>
        <w:t xml:space="preserve">The reference map for the track.</w:t>
      </w:r>
      <w:r>
        <w:t xml:space="preserve"> </w:t>
      </w:r>
      <w:r>
        <w:t xml:space="preserve">“Feeding books”</w:t>
      </w:r>
      <w:r>
        <w:t xml:space="preserve"> </w:t>
      </w:r>
      <w:r>
        <w:t xml:space="preserve">are volume coordinates; the KSI</w:t>
      </w:r>
      <w:r>
        <w:t xml:space="preserve"> </w:t>
      </w:r>
      <w:r>
        <w:t xml:space="preserve">category is the rule family the OSCAL emitter scores; the last column is the</w:t>
      </w:r>
      <w:r>
        <w:t xml:space="preserve"> </w:t>
      </w:r>
      <w:r>
        <w:t xml:space="preserve">Theme E split — whether ScuBA-class tooling alone can attest the slot, or whether</w:t>
      </w:r>
      <w:r>
        <w:t xml:space="preserve"> </w:t>
      </w:r>
      <w:r>
        <w:t xml:space="preserve">it depends on architecture a workforce built. The column is reproducible: a slot</w:t>
      </w:r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Partial</w:t>
      </w:r>
      <w:r>
        <w:t xml:space="preserve"> </w:t>
      </w:r>
      <w:r>
        <w:t xml:space="preserve">when it binds at least one ScuBA-attestable rule (KSI-001..010) and</w:t>
      </w:r>
      <w:r>
        <w:t xml:space="preserve"> </w:t>
      </w:r>
      <w:r>
        <w:rPr>
          <w:i/>
          <w:iCs/>
        </w:rPr>
        <w:t xml:space="preserve">No</w:t>
      </w:r>
      <w:r>
        <w:t xml:space="preserve"> </w:t>
      </w:r>
      <w:r>
        <w:t xml:space="preserve">when it binds none; no slot is fully tool-attestable, since every slot also</w:t>
      </w:r>
      <w:r>
        <w:t xml:space="preserve"> </w:t>
      </w:r>
      <w:r>
        <w:t xml:space="preserve">carries workforce-built evidence.</w:t>
      </w:r>
    </w:p>
    <w:p>
      <w:pPr>
        <w:pStyle w:val="TableCaption"/>
      </w:pPr>
      <w:r>
        <w:t xml:space="preserve">The eight evidence slots — feeding books, anchor controls, and KSI categories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eight evidence slots — feeding books, anchor controls, and KSI categories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Slot</w:t>
            </w:r>
          </w:p>
        </w:tc>
        <w:tc>
          <w:tcPr/>
          <w:p>
            <w:pPr>
              <w:pStyle w:val="Compact"/>
            </w:pPr>
            <w:r>
              <w:t xml:space="preserve">Feeding books</w:t>
            </w:r>
          </w:p>
        </w:tc>
        <w:tc>
          <w:tcPr/>
          <w:p>
            <w:pPr>
              <w:pStyle w:val="Compact"/>
            </w:pPr>
            <w:r>
              <w:t xml:space="preserve">Anchor controls</w:t>
            </w:r>
          </w:p>
        </w:tc>
        <w:tc>
          <w:tcPr/>
          <w:p>
            <w:pPr>
              <w:pStyle w:val="Compact"/>
            </w:pPr>
            <w:r>
              <w:t xml:space="preserve">KSI category</w:t>
            </w:r>
          </w:p>
        </w:tc>
        <w:tc>
          <w:tcPr/>
          <w:p>
            <w:pPr>
              <w:pStyle w:val="Compact"/>
            </w:pPr>
            <w:r>
              <w:t xml:space="preserve">Tool-attestable alone?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— Identity</w:t>
            </w:r>
          </w:p>
        </w:tc>
        <w:tc>
          <w:tcPr/>
          <w:p>
            <w:pPr>
              <w:pStyle w:val="Compact"/>
            </w:pPr>
            <w:r>
              <w:t xml:space="preserve">Vol I Bk 03/04/05 · Vol II Bk 01 · Vol III Bk 01</w:t>
            </w:r>
          </w:p>
        </w:tc>
        <w:tc>
          <w:tcPr/>
          <w:p>
            <w:pPr>
              <w:pStyle w:val="Compact"/>
            </w:pPr>
            <w:r>
              <w:t xml:space="preserve">IA-2, AC-2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— Addressing</w:t>
            </w:r>
          </w:p>
        </w:tc>
        <w:tc>
          <w:tcPr/>
          <w:p>
            <w:pPr>
              <w:pStyle w:val="Compact"/>
            </w:pPr>
            <w:r>
              <w:t xml:space="preserve">Vol I Bk 01 (Bk 02 pending)</w:t>
            </w:r>
          </w:p>
        </w:tc>
        <w:tc>
          <w:tcPr/>
          <w:p>
            <w:pPr>
              <w:pStyle w:val="Compact"/>
            </w:pPr>
            <w:r>
              <w:t xml:space="preserve">CM-8, AC-4</w:t>
            </w:r>
          </w:p>
        </w:tc>
        <w:tc>
          <w:tcPr/>
          <w:p>
            <w:pPr>
              <w:pStyle w:val="Compact"/>
            </w:pPr>
            <w:r>
              <w:t xml:space="preserve">KSI-PIY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— Network</w:t>
            </w:r>
          </w:p>
        </w:tc>
        <w:tc>
          <w:tcPr/>
          <w:p>
            <w:pPr>
              <w:pStyle w:val="Compact"/>
            </w:pPr>
            <w:r>
              <w:t xml:space="preserve">Vol I Bk 05/06/07 · Vol II Bk 03</w:t>
            </w:r>
          </w:p>
        </w:tc>
        <w:tc>
          <w:tcPr/>
          <w:p>
            <w:pPr>
              <w:pStyle w:val="Compact"/>
            </w:pPr>
            <w:r>
              <w:t xml:space="preserve">SC-8, SC-7, CA-7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— Telemetry</w:t>
            </w:r>
          </w:p>
        </w:tc>
        <w:tc>
          <w:tcPr/>
          <w:p>
            <w:pPr>
              <w:pStyle w:val="Compact"/>
            </w:pPr>
            <w:r>
              <w:t xml:space="preserve">Vol III Bk 02/05/06/07</w:t>
            </w:r>
          </w:p>
        </w:tc>
        <w:tc>
          <w:tcPr/>
          <w:p>
            <w:pPr>
              <w:pStyle w:val="Compact"/>
            </w:pPr>
            <w:r>
              <w:t xml:space="preserve">CA-7, SI-4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5 — Endpoint</w:t>
            </w:r>
          </w:p>
        </w:tc>
        <w:tc>
          <w:tcPr/>
          <w:p>
            <w:pPr>
              <w:pStyle w:val="Compact"/>
            </w:pPr>
            <w:r>
              <w:t xml:space="preserve">Vol I Bk 02 · Vol III Bk 01/03/04 · Vol IV Bk 04</w:t>
            </w:r>
          </w:p>
        </w:tc>
        <w:tc>
          <w:tcPr/>
          <w:p>
            <w:pPr>
              <w:pStyle w:val="Compact"/>
            </w:pPr>
            <w:r>
              <w:t xml:space="preserve">CM-8, IA-3</w:t>
            </w:r>
          </w:p>
        </w:tc>
        <w:tc>
          <w:tcPr/>
          <w:p>
            <w:pPr>
              <w:pStyle w:val="Compact"/>
            </w:pPr>
            <w:r>
              <w:t xml:space="preserve">KSI-PIY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— Security / Change</w:t>
            </w:r>
          </w:p>
        </w:tc>
        <w:tc>
          <w:tcPr/>
          <w:p>
            <w:pPr>
              <w:pStyle w:val="Compact"/>
            </w:pPr>
            <w:r>
              <w:t xml:space="preserve">Vol III Bk 04/06 · Vol IV Bk 02/03</w:t>
            </w:r>
          </w:p>
        </w:tc>
        <w:tc>
          <w:tcPr/>
          <w:p>
            <w:pPr>
              <w:pStyle w:val="Compact"/>
            </w:pPr>
            <w:r>
              <w:t xml:space="preserve">CM-2, AC-4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7 — Continuity</w:t>
            </w:r>
          </w:p>
        </w:tc>
        <w:tc>
          <w:tcPr/>
          <w:p>
            <w:pPr>
              <w:pStyle w:val="Compact"/>
            </w:pPr>
            <w:r>
              <w:t xml:space="preserve">Vol IV Bk 01</w:t>
            </w:r>
          </w:p>
        </w:tc>
        <w:tc>
          <w:tcPr/>
          <w:p>
            <w:pPr>
              <w:pStyle w:val="Compact"/>
            </w:pPr>
            <w:r>
              <w:t xml:space="preserve">CP-2, CP-4</w:t>
            </w:r>
          </w:p>
        </w:tc>
        <w:tc>
          <w:tcPr/>
          <w:p>
            <w:pPr>
              <w:pStyle w:val="Compact"/>
            </w:pPr>
            <w:r>
              <w:t xml:space="preserve">KSI-RPL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— Training</w:t>
            </w:r>
          </w:p>
        </w:tc>
        <w:tc>
          <w:tcPr/>
          <w:p>
            <w:pPr>
              <w:pStyle w:val="Compact"/>
            </w:pPr>
            <w:r>
              <w:t xml:space="preserve">Vol IV Bk 05 (Bk 06 context)</w:t>
            </w:r>
          </w:p>
        </w:tc>
        <w:tc>
          <w:tcPr/>
          <w:p>
            <w:pPr>
              <w:pStyle w:val="Compact"/>
            </w:pPr>
            <w:r>
              <w:t xml:space="preserve">AT-2, AT-3, AT-4</w:t>
            </w:r>
          </w:p>
        </w:tc>
        <w:tc>
          <w:tcPr/>
          <w:p>
            <w:pPr>
              <w:pStyle w:val="Compact"/>
            </w:pPr>
            <w:r>
              <w:t xml:space="preserve">KSI-CED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With slot 8 active, all 29 internal KSI-decomposition rules are evaluable. Ten are</w:t>
      </w:r>
      <w:r>
        <w:t xml:space="preserve"> </w:t>
      </w:r>
      <w:r>
        <w:t xml:space="preserve">attestable by the ScuBA adapter alone (KSI-001..010); the nineteen bound to the</w:t>
      </w:r>
      <w:r>
        <w:t xml:space="preserve"> </w:t>
      </w:r>
      <w:r>
        <w:t xml:space="preserve">slots above (KSI-011..029) are the coverage gap this track closes by producing</w:t>
      </w:r>
      <w:r>
        <w:t xml:space="preserve"> </w:t>
      </w:r>
      <w:r>
        <w:t xml:space="preserve">assessors who can trace their evidence — advisory pending formal PMO / AO review.</w:t>
      </w:r>
    </w:p>
    <w:bookmarkEnd w:id="27"/>
    <w:bookmarkStart w:id="29" w:name="series-context-vol-v-book-01"/>
    <w:p>
      <w:pPr>
        <w:pStyle w:val="Heading1"/>
      </w:pPr>
      <w:r>
        <w:t xml:space="preserve">Series Context — Vol V Book 01</w:t>
      </w:r>
    </w:p>
    <w:p>
      <w:pPr>
        <w:pStyle w:val="FirstParagraph"/>
      </w:pPr>
      <w:r>
        <w:t xml:space="preserve">The compliance track is the first of Volume V’s four content books and the one</w:t>
      </w:r>
      <w:r>
        <w:t xml:space="preserve"> </w:t>
      </w:r>
      <w:r>
        <w:t xml:space="preserve">that reads the series from the assessor’s chair. It depends on all of Volumes</w:t>
      </w:r>
      <w:r>
        <w:t xml:space="preserve"> </w:t>
      </w:r>
      <w:r>
        <w:t xml:space="preserve">I–IV — it cites their books as the evidence sources for the eight slots — and it</w:t>
      </w:r>
      <w:r>
        <w:t xml:space="preserve"> </w:t>
      </w:r>
      <w:r>
        <w:t xml:space="preserve">pairs with Vol V Book 02 (The Implementation Track), which builds those same</w:t>
      </w:r>
      <w:r>
        <w:t xml:space="preserve"> </w:t>
      </w:r>
      <w:r>
        <w:t xml:space="preserve">sources from the engineer’s chair and lands the artifacts this track scores.</w:t>
      </w:r>
      <w:r>
        <w:t xml:space="preserve"> </w:t>
      </w:r>
      <w:r>
        <w:t xml:space="preserve">Vol V Book 03 (Assessment, Rubrics &amp; Certification) grades the capstone this book</w:t>
      </w:r>
      <w:r>
        <w:t xml:space="preserve"> </w:t>
      </w:r>
      <w:r>
        <w:t xml:space="preserve">sets, and Vol V Book 04 (Vendor Training &amp; Lab Environments) supplies the</w:t>
      </w:r>
      <w:r>
        <w:t xml:space="preserve"> </w:t>
      </w:r>
      <w:r>
        <w:t xml:space="preserve">external skills. Read together, the track turns the corpus from a set of</w:t>
      </w:r>
      <w:r>
        <w:t xml:space="preserve"> </w:t>
      </w:r>
      <w:r>
        <w:t xml:space="preserve">documents into a workforce that can trace book → control → KSI → evidence for</w:t>
      </w:r>
      <w:r>
        <w:t xml:space="preserve"> </w:t>
      </w:r>
      <w:r>
        <w:t xml:space="preserve">every slot — which is itself the closure of the training control (AT-2/AT-3,</w:t>
      </w:r>
      <w:r>
        <w:t xml:space="preserve"> </w:t>
      </w:r>
      <w:r>
        <w:t xml:space="preserve">KSI-CED) the program’s own authorization package depends 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Federal Compliance — Vol V Book 01 of the series. Volume V is</w:t>
      </w:r>
      <w:r>
        <w:rPr>
          <w:i/>
          <w:iCs/>
        </w:rPr>
        <w:t xml:space="preserve"> </w:t>
      </w:r>
      <w:r>
        <w:rPr>
          <w:i/>
          <w:iCs/>
        </w:rPr>
        <w:t xml:space="preserve">the enablement layer: it teaches Volumes 0–IV and produces the training evidence</w:t>
      </w:r>
      <w:r>
        <w:rPr>
          <w:i/>
          <w:iCs/>
        </w:rPr>
        <w:t xml:space="preserve"> </w:t>
      </w:r>
      <w:r>
        <w:rPr>
          <w:i/>
          <w:iCs/>
        </w:rPr>
        <w:t xml:space="preserve">that Vol IV Book 06 freezes into the OSCAL authorization bundle. This book is the</w:t>
      </w:r>
      <w:r>
        <w:rPr>
          <w:i/>
          <w:iCs/>
        </w:rPr>
        <w:t xml:space="preserve"> </w:t>
      </w:r>
      <w:r>
        <w:rPr>
          <w:i/>
          <w:iCs/>
        </w:rPr>
        <w:t xml:space="preserve">compliance track; Vol V Book 02 is its implementation counterpart. Control-closure</w:t>
      </w:r>
      <w:r>
        <w:rPr>
          <w:i/>
          <w:iCs/>
        </w:rPr>
        <w:t xml:space="preserve"> </w:t>
      </w:r>
      <w:r>
        <w:rPr>
          <w:i/>
          <w:iCs/>
        </w:rPr>
        <w:t xml:space="preserve">and KSI claims are self-assessed against the series’ internal KSI decomposition (modeled on</w:t>
      </w:r>
      <w:r>
        <w:rPr>
          <w:i/>
          <w:iCs/>
        </w:rPr>
        <w:t xml:space="preserve"> </w:t>
      </w:r>
      <w:r>
        <w:rPr>
          <w:i/>
          <w:iCs/>
        </w:rPr>
        <w:t xml:space="preserve">the FedRAMP 20x CR26 KSI schema), pending independent security control assessment</w:t>
      </w:r>
      <w:r>
        <w:rPr>
          <w:i/>
          <w:iCs/>
        </w:rPr>
        <w:t xml:space="preserve"> </w:t>
      </w:r>
      <w:r>
        <w:rPr>
          <w:i/>
          <w:iCs/>
        </w:rPr>
        <w:t xml:space="preserve">(SCA) and formal FedRAMP PMO / AO review.</w:t>
      </w:r>
    </w:p>
    <w:bookmarkStart w:id="28" w:name="draft-proposal-subject-to-review-2"/>
    <w:p>
      <w:pPr>
        <w:pStyle w:val="Heading2"/>
      </w:pPr>
      <w:r>
        <w:t xml:space="preserve">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2026-07-18 06:20 ET</w:t>
      </w:r>
    </w:p>
    <w:bookmarkEnd w:id="28"/>
    <w:bookmarkEnd w:id="29"/>
    <w:bookmarkStart w:id="30" w:name="what-this-document-addresses-1"/>
    <w:p>
      <w:pPr>
        <w:pStyle w:val="Heading1"/>
      </w:pPr>
      <w:r>
        <w:t xml:space="preserve">What This Document Addresses</w:t>
      </w:r>
    </w:p>
    <w:p>
      <w:pPr>
        <w:pStyle w:val="FirstParagraph"/>
      </w:pPr>
      <w:r>
        <w:t xml:space="preserve">Vol V Book 01 taught the corpus from the assessor’s chair — the eight evidence</w:t>
      </w:r>
      <w:r>
        <w:t xml:space="preserve"> </w:t>
      </w:r>
      <w:r>
        <w:t xml:space="preserve">slots, read as</w:t>
      </w:r>
      <w:r>
        <w:t xml:space="preserve"> </w:t>
      </w:r>
      <w:r>
        <w:rPr>
          <w:rStyle w:val="VerbatimChar"/>
        </w:rPr>
        <w:t xml:space="preserve">book → control → KSI → evidence</w:t>
      </w:r>
      <w:r>
        <w:t xml:space="preserve">. This book teaches the same</w:t>
      </w:r>
      <w:r>
        <w:t xml:space="preserve"> </w:t>
      </w:r>
      <w:r>
        <w:t xml:space="preserve">corpus from the engineer’s chair: how to</w:t>
      </w:r>
      <w:r>
        <w:t xml:space="preserve"> </w:t>
      </w:r>
      <w:r>
        <w:rPr>
          <w:b/>
          <w:bCs/>
        </w:rPr>
        <w:t xml:space="preserve">build</w:t>
      </w:r>
      <w:r>
        <w:t xml:space="preserve"> </w:t>
      </w:r>
      <w:r>
        <w:t xml:space="preserve">the architectures Volumes</w:t>
      </w:r>
      <w:r>
        <w:t xml:space="preserve"> </w:t>
      </w:r>
      <w:r>
        <w:t xml:space="preserve">I–IV describe, and — the part that makes the difference — how to</w:t>
      </w:r>
      <w:r>
        <w:t xml:space="preserve"> </w:t>
      </w:r>
      <w:r>
        <w:rPr>
          <w:b/>
          <w:bCs/>
        </w:rPr>
        <w:t xml:space="preserve">land the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</w:t>
      </w:r>
      <w:r>
        <w:t xml:space="preserve"> </w:t>
      </w:r>
      <w:r>
        <w:t xml:space="preserve">that Book 01’s slots score. It is the implementation track of the</w:t>
      </w:r>
      <w:r>
        <w:t xml:space="preserve"> </w:t>
      </w:r>
      <w:r>
        <w:t xml:space="preserve">Academy, aimed at network, platform, database, identity, and security engineers.</w:t>
      </w:r>
    </w:p>
    <w:p>
      <w:pPr>
        <w:pStyle w:val="BodyText"/>
      </w:pPr>
      <w:r>
        <w:t xml:space="preserve">The track has one rule, and it is the rule that separates a working system from</w:t>
      </w:r>
      <w:r>
        <w:t xml:space="preserve"> </w:t>
      </w:r>
      <w:r>
        <w:t xml:space="preserve">an authorizable one:</w:t>
      </w:r>
    </w:p>
    <w:p>
      <w:pPr>
        <w:pStyle w:val="BlockText"/>
      </w:pPr>
      <w:r>
        <w:rPr>
          <w:b/>
          <w:bCs/>
        </w:rPr>
        <w:t xml:space="preserve">The rule of the track.</w:t>
      </w:r>
      <w:r>
        <w:t xml:space="preserve"> </w:t>
      </w:r>
      <w:r>
        <w:t xml:space="preserve">A module is done when the thing works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</w:t>
      </w:r>
      <w:r>
        <w:t xml:space="preserve"> </w:t>
      </w:r>
      <w:r>
        <w:t xml:space="preserve">conformance adapter can see it. Every lab ends with an evidence artifact placed</w:t>
      </w:r>
      <w:r>
        <w:t xml:space="preserve"> </w:t>
      </w:r>
      <w:r>
        <w:t xml:space="preserve">where a</w:t>
      </w:r>
      <w:r>
        <w:t xml:space="preserve"> </w:t>
      </w:r>
      <w:r>
        <w:rPr>
          <w:rStyle w:val="VerbatimChar"/>
        </w:rPr>
        <w:t xml:space="preserve">fedramp_aan_catalog</w:t>
      </w:r>
      <w:r>
        <w:t xml:space="preserve"> </w:t>
      </w:r>
      <w:r>
        <w:t xml:space="preserve">slot mapping can bind it, and a</w:t>
      </w:r>
      <w:r>
        <w:t xml:space="preserve"> </w:t>
      </w:r>
      <w:r>
        <w:rPr>
          <w:rStyle w:val="VerbatimChar"/>
        </w:rPr>
        <w:t xml:space="preserve">&lt;engine&gt; oscal ksi-ar</w:t>
      </w:r>
      <w:r>
        <w:t xml:space="preserve"> </w:t>
      </w:r>
      <w:r>
        <w:t xml:space="preserve">run that shows the slot’s verdict fed by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artifact. Building the</w:t>
      </w:r>
      <w:r>
        <w:t xml:space="preserve"> </w:t>
      </w:r>
      <w:r>
        <w:t xml:space="preserve">control is half the work; producing the evidence the KSI reads is the other</w:t>
      </w:r>
      <w:r>
        <w:t xml:space="preserve"> </w:t>
      </w:r>
      <w:r>
        <w:t xml:space="preserve">half, and it is the half most builds skip.</w:t>
      </w:r>
    </w:p>
    <w:p>
      <w:pPr>
        <w:pStyle w:val="FirstParagraph"/>
      </w:pPr>
      <w:r>
        <w:t xml:space="preserve">The eight modules below are grouped by build cluster and sequenced by real</w:t>
      </w:r>
      <w:r>
        <w:t xml:space="preserve"> </w:t>
      </w:r>
      <w:r>
        <w:t xml:space="preserve">dependency: you name and address before you admit and identify, identify before</w:t>
      </w:r>
      <w:r>
        <w:t xml:space="preserve"> </w:t>
      </w:r>
      <w:r>
        <w:t xml:space="preserve">you shape transport, and shape transport before you place data. Detection,</w:t>
      </w:r>
      <w:r>
        <w:t xml:space="preserve"> </w:t>
      </w:r>
      <w:r>
        <w:t xml:space="preserve">privileged access, and resilience run in parallel once the identity floor</w:t>
      </w:r>
      <w:r>
        <w:t xml:space="preserve"> </w:t>
      </w:r>
      <w:r>
        <w:t xml:space="preserve">exists; authorize-and-operate assembles what every other module produced.</w:t>
      </w:r>
    </w:p>
    <w:p>
      <w:pPr>
        <w:pStyle w:val="BodyText"/>
      </w:pPr>
      <w:r>
        <w:rPr>
          <w:b/>
          <w:bCs/>
        </w:rPr>
        <w:t xml:space="preserve">Prerequisite — Module A0 of Book 01.</w:t>
      </w:r>
      <w:r>
        <w:t xml:space="preserve"> </w:t>
      </w:r>
      <w:r>
        <w:t xml:space="preserve">You need the FedRAMP 20x timeline and</w:t>
      </w:r>
      <w:r>
        <w:t xml:space="preserve"> </w:t>
      </w:r>
      <w:r>
        <w:t xml:space="preserve">the evidence-slot model in your head before you build, because every build here</w:t>
      </w:r>
      <w:r>
        <w:t xml:space="preserve"> </w:t>
      </w:r>
      <w:r>
        <w:t xml:space="preserve">ends by landing evidence, not just by working. Read Book 01’s orientation module</w:t>
      </w:r>
      <w:r>
        <w:t xml:space="preserve"> </w:t>
      </w:r>
      <w:r>
        <w:t xml:space="preserve">first.</w:t>
      </w:r>
    </w:p>
    <w:bookmarkEnd w:id="30"/>
    <w:bookmarkStart w:id="31" w:name="Xaee808d7ccda63f7843c8fe8928afbc9cb99edf"/>
    <w:p>
      <w:pPr>
        <w:pStyle w:val="Heading1"/>
      </w:pPr>
      <w:r>
        <w:t xml:space="preserve">Module B1 — Landing Zone, IPAM &amp; DDI (Vol I Book 01)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01 (Agency Landing Zone, IPAM &amp; FedRAMP).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the DDI core — authoritative IPAM, DNS, DHCP, and PKI issuance for</w:t>
      </w:r>
      <w:r>
        <w:t xml:space="preserve"> </w:t>
      </w:r>
      <w:r>
        <w:t xml:space="preserve">the landing zone. The reference stack is Infoblox; the reference implementation’s</w:t>
      </w:r>
      <w:r>
        <w:t xml:space="preserve"> </w:t>
      </w:r>
      <w:r>
        <w:t xml:space="preserve">modernization adapters for BlueCat and Infoblox cover directory migration into it.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stand up (or simulate with fixtures) an IPAM inventory export and bind</w:t>
      </w:r>
      <w:r>
        <w:t xml:space="preserve"> </w:t>
      </w:r>
      <w:r>
        <w:t xml:space="preserve">it as</w:t>
      </w:r>
      <w:r>
        <w:t xml:space="preserve"> </w:t>
      </w:r>
      <w:r>
        <w:rPr>
          <w:b/>
          <w:bCs/>
        </w:rPr>
        <w:t xml:space="preserve">slot-03 network</w:t>
      </w:r>
      <w:r>
        <w:t xml:space="preserve"> </w:t>
      </w:r>
      <w:r>
        <w:t xml:space="preserve">evidence (the CM-8 addressing anchor).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Infoblox education, BlueCat learning, Microsoft AZ-700 —</w:t>
      </w:r>
      <w:r>
        <w:t xml:space="preserve"> </w:t>
      </w:r>
      <w:r>
        <w:t xml:space="preserve">see Vol V Book 04 §Networking &amp; DDI.</w:t>
      </w:r>
    </w:p>
    <w:p>
      <w:pPr>
        <w:pStyle w:val="FirstParagraph"/>
      </w:pPr>
      <w:r>
        <w:t xml:space="preserve">B1 is first because it is the join key for everything downstream: the CM-8</w:t>
      </w:r>
      <w:r>
        <w:t xml:space="preserve"> </w:t>
      </w:r>
      <w:r>
        <w:t xml:space="preserve">asset-identity anchor the Multi-Cloud Evidence Fabric later correlates against.</w:t>
      </w:r>
      <w:r>
        <w:t xml:space="preserve"> </w:t>
      </w:r>
      <w:r>
        <w:t xml:space="preserve">No inventory, no correlation — so the module is not done until the IPAM export is</w:t>
      </w:r>
      <w:r>
        <w:t xml:space="preserve"> </w:t>
      </w:r>
      <w:r>
        <w:t xml:space="preserve">bound and the slot-03 verdict reads it.</w:t>
      </w:r>
    </w:p>
    <w:bookmarkEnd w:id="31"/>
    <w:bookmarkStart w:id="32" w:name="Xd38527a652803e85dce842c02c4e6cb5ed9e446"/>
    <w:p>
      <w:pPr>
        <w:pStyle w:val="Heading1"/>
      </w:pPr>
      <w:r>
        <w:t xml:space="preserve">Module B2 — Access &amp; Identity Foundations (Vol I Books 02–04)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02 (Network Access Control — 802.1X), Vol I Book 03</w:t>
      </w:r>
      <w:r>
        <w:t xml:space="preserve"> </w:t>
      </w:r>
      <w:r>
        <w:t xml:space="preserve">(Certificates &amp; Tokens), Vol I Book 04 (HRIT Identity &amp; Org SSOT).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the admission-and-identity layer everything after B1 assumes —</w:t>
      </w:r>
      <w:r>
        <w:t xml:space="preserve"> </w:t>
      </w:r>
      <w:r>
        <w:t xml:space="preserve">802.1X EAP-TLS port/wireless authentication with the five-tier VLAN model and</w:t>
      </w:r>
      <w:r>
        <w:t xml:space="preserve"> </w:t>
      </w:r>
      <w:r>
        <w:t xml:space="preserve">CoA (Book 02); the cryptographic credential plane, offline-root + name-</w:t>
      </w:r>
      <w:r>
        <w:t xml:space="preserve"> </w:t>
      </w:r>
      <w:r>
        <w:t xml:space="preserve">constrained issuing CAs, ACME/SCEP at short lifetimes, phishing-resistant MFA,</w:t>
      </w:r>
      <w:r>
        <w:t xml:space="preserve"> </w:t>
      </w:r>
      <w:r>
        <w:t xml:space="preserve">and workload identity federation (Book 03); and the HR-driven SSOT pipeline —</w:t>
      </w:r>
      <w:r>
        <w:t xml:space="preserve"> </w:t>
      </w:r>
      <w:r>
        <w:t xml:space="preserve">the authoritative source, effective-dated records, and the SCIM/Graph</w:t>
      </w:r>
      <w:r>
        <w:t xml:space="preserve"> </w:t>
      </w:r>
      <w:r>
        <w:rPr>
          <w:rStyle w:val="VerbatimChar"/>
        </w:rPr>
        <w:t xml:space="preserve">bulkUpload</w:t>
      </w:r>
      <w:r>
        <w:t xml:space="preserve"> </w:t>
      </w:r>
      <w:r>
        <w:t xml:space="preserve">provisioning flow with the six-step leaver (Book 04).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three worked exercises. Deploy EAP-TLS</w:t>
      </w:r>
      <w:r>
        <w:t xml:space="preserve"> </w:t>
      </w:r>
      <w:r>
        <w:rPr>
          <w:b/>
          <w:bCs/>
        </w:rPr>
        <w:t xml:space="preserve">in monitor mode first</w:t>
      </w:r>
      <w:r>
        <w:t xml:space="preserve"> </w:t>
      </w:r>
      <w:r>
        <w:t xml:space="preserve">with</w:t>
      </w:r>
      <w:r>
        <w:t xml:space="preserve"> </w:t>
      </w:r>
      <w:r>
        <w:t xml:space="preserve">an Intune SCEP profile, review the would-have-failed log, then enforce one</w:t>
      </w:r>
      <w:r>
        <w:t xml:space="preserve"> </w:t>
      </w:r>
      <w:r>
        <w:t xml:space="preserve">switch/SSID. Stand up the CAA + ACME DNS-01 issuance chain and rotate a</w:t>
      </w:r>
      <w:r>
        <w:t xml:space="preserve"> </w:t>
      </w:r>
      <w:r>
        <w:t xml:space="preserve">certificate inside its lifetime. Run the six-step leaver in shadow mode and</w:t>
      </w:r>
      <w:r>
        <w:t xml:space="preserve"> </w:t>
      </w:r>
      <w:r>
        <w:t xml:space="preserve">capture the deprovisioning evidence. The Book 03/04 artifacts bind as</w:t>
      </w:r>
      <w:r>
        <w:t xml:space="preserve"> </w:t>
      </w:r>
      <w:r>
        <w:rPr>
          <w:b/>
          <w:bCs/>
        </w:rPr>
        <w:t xml:space="preserve">slot-01 identity</w:t>
      </w:r>
      <w:r>
        <w:t xml:space="preserve"> </w:t>
      </w:r>
      <w:r>
        <w:t xml:space="preserve">evidence; Book 02’s port-authentication evidence is held</w:t>
      </w:r>
      <w:r>
        <w:t xml:space="preserve"> </w:t>
      </w:r>
      <w:r>
        <w:t xml:space="preserve">pending the adapter mapping refresh.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Cisco U / Networking Academy (ISE, NAC), Microsoft SC-300</w:t>
      </w:r>
      <w:r>
        <w:t xml:space="preserve"> </w:t>
      </w:r>
      <w:r>
        <w:t xml:space="preserve">(Entra identity &amp; lifecycle), AZ-500, SailPoint Identity University — see Vol V</w:t>
      </w:r>
      <w:r>
        <w:t xml:space="preserve"> </w:t>
      </w:r>
      <w:r>
        <w:t xml:space="preserve">Book 04 §Identity &amp; zero trust.</w:t>
      </w:r>
    </w:p>
    <w:p>
      <w:pPr>
        <w:pStyle w:val="BlockText"/>
      </w:pPr>
      <w:r>
        <w:rPr>
          <w:b/>
          <w:bCs/>
        </w:rPr>
        <w:t xml:space="preserve">Closure Necessity — monitor mode is not optional.</w:t>
      </w:r>
      <w:r>
        <w:t xml:space="preserve"> </w:t>
      </w:r>
      <w:r>
        <w:t xml:space="preserve">802.1X enforced on day</w:t>
      </w:r>
      <w:r>
        <w:t xml:space="preserve"> </w:t>
      </w:r>
      <w:r>
        <w:t xml:space="preserve">one is the classic NAC lockout. The build discipline the module enforces is</w:t>
      </w:r>
      <w:r>
        <w:t xml:space="preserve"> </w:t>
      </w:r>
      <w:r>
        <w:t xml:space="preserve">monitor-mode-first: collect the would-have-failed data, fix supplicant and</w:t>
      </w:r>
      <w:r>
        <w:t xml:space="preserve"> </w:t>
      </w:r>
      <w:r>
        <w:t xml:space="preserve">certificate coverage,</w:t>
      </w:r>
      <w:r>
        <w:t xml:space="preserve"> </w:t>
      </w:r>
      <w:r>
        <w:rPr>
          <w:i/>
          <w:iCs/>
        </w:rPr>
        <w:t xml:space="preserve">then</w:t>
      </w:r>
      <w:r>
        <w:t xml:space="preserve"> </w:t>
      </w:r>
      <w:r>
        <w:t xml:space="preserve">enforce. An assessor reading the slot-05 evidence</w:t>
      </w:r>
      <w:r>
        <w:t xml:space="preserve"> </w:t>
      </w:r>
      <w:r>
        <w:t xml:space="preserve">should see the pre-enforcement readiness report, not just the enforcing config.</w:t>
      </w:r>
    </w:p>
    <w:bookmarkEnd w:id="32"/>
    <w:bookmarkStart w:id="33" w:name="X96627d274d9d5c1c7d52e7f0c43411ac15201f8"/>
    <w:p>
      <w:pPr>
        <w:pStyle w:val="Heading1"/>
      </w:pPr>
      <w:r>
        <w:t xml:space="preserve">Module B3 — Network &amp; Telecommunications Modernization (Vol I Books 05–07)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05 (Network Modernization — SD-WAN, SASE, UC), Vol I</w:t>
      </w:r>
      <w:r>
        <w:t xml:space="preserve"> </w:t>
      </w:r>
      <w:r>
        <w:t xml:space="preserve">Book 06 (Federal Telecommunications Modernization — TIC 3.0), Vol I Book 07</w:t>
      </w:r>
      <w:r>
        <w:t xml:space="preserve"> </w:t>
      </w:r>
      <w:r>
        <w:t xml:space="preserve">(Network Enforcement Substrate — the customer-owned edge).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application-aware transport — SD-WAN path policy keyed to</w:t>
      </w:r>
      <w:r>
        <w:t xml:space="preserve"> </w:t>
      </w:r>
      <w:r>
        <w:t xml:space="preserve">application identity, SASE enforcement under TIC 3.0, and the customer-owned</w:t>
      </w:r>
      <w:r>
        <w:t xml:space="preserve"> </w:t>
      </w:r>
      <w:r>
        <w:t xml:space="preserve">edge gear (Cisco / Palo Alto / Juniper) accredited through NIAP / DISA STIG /</w:t>
      </w:r>
      <w:r>
        <w:t xml:space="preserve"> </w:t>
      </w:r>
      <w:r>
        <w:t xml:space="preserve">FIPS 140-3 / DoDIN APL. This is where the customer-owned half of SC-7/SC-8 —</w:t>
      </w:r>
      <w:r>
        <w:t xml:space="preserve"> </w:t>
      </w:r>
      <w:r>
        <w:t xml:space="preserve">the half no CSP’s FedRAMP authorization covers — is actually built.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author one application-aware path policy and one ZTNA access policy;</w:t>
      </w:r>
      <w:r>
        <w:t xml:space="preserve"> </w:t>
      </w:r>
      <w:r>
        <w:t xml:space="preserve">export the policy state and bind it as</w:t>
      </w:r>
      <w:r>
        <w:t xml:space="preserve"> </w:t>
      </w:r>
      <w:r>
        <w:rPr>
          <w:b/>
          <w:bCs/>
        </w:rPr>
        <w:t xml:space="preserve">slot-03 network</w:t>
      </w:r>
      <w:r>
        <w:t xml:space="preserve"> </w:t>
      </w:r>
      <w:r>
        <w:t xml:space="preserve">evidence.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Cisco U / Networking Academy (SD-WAN), Fortinet / Palo</w:t>
      </w:r>
      <w:r>
        <w:t xml:space="preserve"> </w:t>
      </w:r>
      <w:r>
        <w:t xml:space="preserve">Alto (SASE), AWS Skill Builder (Amazon Connect) — see Vol V Book 04</w:t>
      </w:r>
      <w:r>
        <w:t xml:space="preserve"> </w:t>
      </w:r>
      <w:r>
        <w:t xml:space="preserve">§Networking &amp; DDI and §Identity &amp; zero trust.</w:t>
      </w:r>
    </w:p>
    <w:p>
      <w:pPr>
        <w:pStyle w:val="FirstParagraph"/>
      </w:pPr>
      <w:r>
        <w:t xml:space="preserve">The module’s doctrine is Theme B: the circuit fixes the geographic hairpin and</w:t>
      </w:r>
      <w:r>
        <w:t xml:space="preserve"> </w:t>
      </w:r>
      <w:r>
        <w:t xml:space="preserve">nothing else; every control lives in the overlay and the PEP. Build the overlay,</w:t>
      </w:r>
      <w:r>
        <w:t xml:space="preserve"> </w:t>
      </w:r>
      <w:r>
        <w:t xml:space="preserve">not the pipe, and prove SC-8 with the CA-7 signal that shows it stays enforced.</w:t>
      </w:r>
    </w:p>
    <w:bookmarkEnd w:id="33"/>
    <w:bookmarkStart w:id="34" w:name="X7ae13ea138839a374e2612d0d1f094e7598649e"/>
    <w:p>
      <w:pPr>
        <w:pStyle w:val="Heading1"/>
      </w:pPr>
      <w:r>
        <w:t xml:space="preserve">Module B4 — Data Platform Modernization (Vol II Books 01–03)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II Book 01 (SQL Server Authentication Modernization), Vol II</w:t>
      </w:r>
      <w:r>
        <w:t xml:space="preserve"> </w:t>
      </w:r>
      <w:r>
        <w:t xml:space="preserve">Book 02 (SQL Server Implementation Guide — the runbook), Vol II Book 03</w:t>
      </w:r>
      <w:r>
        <w:t xml:space="preserve"> </w:t>
      </w:r>
      <w:r>
        <w:t xml:space="preserve">(Database Consolidation &amp; Network Physics).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Entra-integrated SQL Server authentication (no SQL logins), then the</w:t>
      </w:r>
      <w:r>
        <w:t xml:space="preserve"> </w:t>
      </w:r>
      <w:r>
        <w:t xml:space="preserve">consolidation architecture Book 03 derives from network physics (latency</w:t>
      </w:r>
      <w:r>
        <w:t xml:space="preserve"> </w:t>
      </w:r>
      <w:r>
        <w:t xml:space="preserve">budgets, placement, failure domains).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execute the Book 02 runbook against a lab instance; capture the</w:t>
      </w:r>
      <w:r>
        <w:t xml:space="preserve"> </w:t>
      </w:r>
      <w:r>
        <w:t xml:space="preserve">authentication-mode evidence and bind it as</w:t>
      </w:r>
      <w:r>
        <w:t xml:space="preserve"> </w:t>
      </w:r>
      <w:r>
        <w:rPr>
          <w:b/>
          <w:bCs/>
        </w:rPr>
        <w:t xml:space="preserve">slot-01 identity</w:t>
      </w:r>
      <w:r>
        <w:t xml:space="preserve"> </w:t>
      </w:r>
      <w:r>
        <w:t xml:space="preserve">evidence.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Microsoft DP-300, SQL Server security learning paths — see</w:t>
      </w:r>
      <w:r>
        <w:t xml:space="preserve"> </w:t>
      </w:r>
      <w:r>
        <w:t xml:space="preserve">Vol V Book 04 §Data platform.</w:t>
      </w:r>
    </w:p>
    <w:bookmarkEnd w:id="34"/>
    <w:bookmarkStart w:id="35" w:name="Xecce01951fbdc2e8b9d5743e86e3f604ca80bf3"/>
    <w:p>
      <w:pPr>
        <w:pStyle w:val="Heading1"/>
      </w:pPr>
      <w:r>
        <w:t xml:space="preserve">Module B5 — Privileged Access (Vol III Book 01)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III Book 01 (Privileged Access Management — Entra PIM + PAW).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role-activation workflows in PIM (eligibility, activation, approval,</w:t>
      </w:r>
      <w:r>
        <w:t xml:space="preserve"> </w:t>
      </w:r>
      <w:r>
        <w:t xml:space="preserve">review) and the privileged-access-workstation tier model, break-glass first.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configure one eligible role with activation approval + access review;</w:t>
      </w:r>
      <w:r>
        <w:t xml:space="preserve"> </w:t>
      </w:r>
      <w:r>
        <w:t xml:space="preserve">export the PIM audit trail and bind it as</w:t>
      </w:r>
      <w:r>
        <w:t xml:space="preserve"> </w:t>
      </w:r>
      <w:r>
        <w:rPr>
          <w:b/>
          <w:bCs/>
        </w:rPr>
        <w:t xml:space="preserve">slot-01/slot-05</w:t>
      </w:r>
      <w:r>
        <w:t xml:space="preserve"> </w:t>
      </w:r>
      <w:r>
        <w:t xml:space="preserve">evidence.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Microsoft SC-300, AZ-500; SANS privileged-access</w:t>
      </w:r>
      <w:r>
        <w:t xml:space="preserve"> </w:t>
      </w:r>
      <w:r>
        <w:t xml:space="preserve">coursework — see Vol V Book 04 §Identity &amp; zero trust.</w:t>
      </w:r>
    </w:p>
    <w:p>
      <w:pPr>
        <w:pStyle w:val="FirstParagraph"/>
      </w:pPr>
      <w:r>
        <w:t xml:space="preserve">The build order is the security outcome: create the break-glass accounts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removing standing access, deploy Conditional Access in report-only for 14+ days</w:t>
      </w:r>
      <w:r>
        <w:t xml:space="preserve"> </w:t>
      </w:r>
      <w:r>
        <w:t xml:space="preserve">before enforcing. The evidence is the PIM audit trail showing activation</w:t>
      </w:r>
      <w:r>
        <w:t xml:space="preserve"> </w:t>
      </w:r>
      <w:r>
        <w:t xml:space="preserve">ceremonies, not the policy definition.</w:t>
      </w:r>
    </w:p>
    <w:bookmarkEnd w:id="35"/>
    <w:bookmarkStart w:id="36" w:name="X040c47cf430122ca323de09fef3c12fa720a40f"/>
    <w:p>
      <w:pPr>
        <w:pStyle w:val="Heading1"/>
      </w:pPr>
      <w:r>
        <w:t xml:space="preserve">Module B6 — Detect &amp; Protect (Vol III Books 02–07)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III Book 02 (Vulnerability Management — Defender VM + KEV),</w:t>
      </w:r>
      <w:r>
        <w:t xml:space="preserve"> </w:t>
      </w:r>
      <w:r>
        <w:t xml:space="preserve">Vol III Book 03 (Patch &amp; Systems Management — platform-native remediation),</w:t>
      </w:r>
      <w:r>
        <w:t xml:space="preserve"> </w:t>
      </w:r>
      <w:r>
        <w:t xml:space="preserve">Vol III Book 04 (Cloud-Native Security Posture), Vol III Book 05 (Data</w:t>
      </w:r>
      <w:r>
        <w:t xml:space="preserve"> </w:t>
      </w:r>
      <w:r>
        <w:t xml:space="preserve">Protection — Purview + Key Vault CMK), Vol III Book 06 (SIEM / XDR — Sentinel),</w:t>
      </w:r>
      <w:r>
        <w:t xml:space="preserve"> </w:t>
      </w:r>
      <w:r>
        <w:t xml:space="preserve">and Vol III Book 07 (Multi-Cloud Evidence Fabric).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the telemetry spine — Defender VM assessment with KEV</w:t>
      </w:r>
      <w:r>
        <w:t xml:space="preserve"> </w:t>
      </w:r>
      <w:r>
        <w:t xml:space="preserve">prioritization; the platform-native patch orchestration that actuates the</w:t>
      </w:r>
      <w:r>
        <w:t xml:space="preserve"> </w:t>
      </w:r>
      <w:r>
        <w:t xml:space="preserve">remediation the scan measures (SI-2 — Book 03 closes the gap Book 02 finds);</w:t>
      </w:r>
      <w:r>
        <w:t xml:space="preserve"> </w:t>
      </w:r>
      <w:r>
        <w:t xml:space="preserve">CSPM/CNAPP posture and container runtime coverage; Purview</w:t>
      </w:r>
      <w:r>
        <w:t xml:space="preserve"> </w:t>
      </w:r>
      <w:r>
        <w:t xml:space="preserve">sensitivity labeling + customer-managed keys; Sentinel analytics, incidents,</w:t>
      </w:r>
      <w:r>
        <w:t xml:space="preserve"> </w:t>
      </w:r>
      <w:r>
        <w:t xml:space="preserve">and automation; and the evidence fabric that correlates every source’s record</w:t>
      </w:r>
      <w:r>
        <w:t xml:space="preserve"> </w:t>
      </w:r>
      <w:r>
        <w:t xml:space="preserve">into one lake bound for CDM and the KSI pipeline.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one end-to-end detection — seed a vulnerable/exposed condition, watch</w:t>
      </w:r>
      <w:r>
        <w:t xml:space="preserve"> </w:t>
      </w:r>
      <w:r>
        <w:t xml:space="preserve">it surface in Defender VM, alert in Sentinel, remediate it through the</w:t>
      </w:r>
      <w:r>
        <w:t xml:space="preserve"> </w:t>
      </w:r>
      <w:r>
        <w:t xml:space="preserve">platform-native patch stack and export the remediation-status record as</w:t>
      </w:r>
      <w:r>
        <w:t xml:space="preserve"> </w:t>
      </w:r>
      <w:r>
        <w:rPr>
          <w:b/>
          <w:bCs/>
        </w:rPr>
        <w:t xml:space="preserve">slot-05 endpoint</w:t>
      </w:r>
      <w:r>
        <w:t xml:space="preserve"> </w:t>
      </w:r>
      <w:r>
        <w:t xml:space="preserve">evidence, and close with an evidence export</w:t>
      </w:r>
      <w:r>
        <w:t xml:space="preserve"> </w:t>
      </w:r>
      <w:r>
        <w:t xml:space="preserve">bound to</w:t>
      </w:r>
      <w:r>
        <w:t xml:space="preserve"> </w:t>
      </w:r>
      <w:r>
        <w:rPr>
          <w:b/>
          <w:bCs/>
        </w:rPr>
        <w:t xml:space="preserve">slot-04 telemetry</w:t>
      </w:r>
      <w:r>
        <w:t xml:space="preserve"> </w:t>
      </w:r>
      <w:r>
        <w:t xml:space="preserve">(and slot-06 for the configuration-drift angle).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Microsoft SC-200 (Sentinel/Defender), SC-401 (Purview),</w:t>
      </w:r>
      <w:r>
        <w:t xml:space="preserve"> </w:t>
      </w:r>
      <w:r>
        <w:t xml:space="preserve">Splunk &amp; Elastic for portable SIEM fundamentals — see Vol V Book 04 §Security</w:t>
      </w:r>
      <w:r>
        <w:t xml:space="preserve"> </w:t>
      </w:r>
      <w:r>
        <w:t xml:space="preserve">operations.</w:t>
      </w:r>
    </w:p>
    <w:bookmarkEnd w:id="36"/>
    <w:bookmarkStart w:id="37" w:name="X0936107edb28f3a1e942de46434d890043daeff"/>
    <w:p>
      <w:pPr>
        <w:pStyle w:val="Heading1"/>
      </w:pPr>
      <w:r>
        <w:t xml:space="preserve">Module B7 — Resilience &amp; Governance (Vol IV Books 01–04)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IV Book 01 (Business Continuity), Vol IV Book 02 (Supply Chain</w:t>
      </w:r>
      <w:r>
        <w:t xml:space="preserve"> </w:t>
      </w:r>
      <w:r>
        <w:t xml:space="preserve">Risk Management), Vol IV Book 03 (Program Management &amp; Governance), Vol IV</w:t>
      </w:r>
      <w:r>
        <w:t xml:space="preserve"> </w:t>
      </w:r>
      <w:r>
        <w:t xml:space="preserve">Book 04 (PII Processing &amp; Transparency).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the contingency architecture (alternate processing/storage, CP-4</w:t>
      </w:r>
      <w:r>
        <w:t xml:space="preserve"> </w:t>
      </w:r>
      <w:r>
        <w:t xml:space="preserve">test harness); the SBOM pipeline (Syft/Grype-class generation, CycloneDX/SPDX</w:t>
      </w:r>
      <w:r>
        <w:t xml:space="preserve"> </w:t>
      </w:r>
      <w:r>
        <w:t xml:space="preserve">VDR, OpenVEX VER for BOD 26-04); the PM governance charter artifacts; PII</w:t>
      </w:r>
      <w:r>
        <w:t xml:space="preserve"> </w:t>
      </w:r>
      <w:r>
        <w:t xml:space="preserve">processing-transparency records.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generate an SBOM for a real service, produce the VDR document, and</w:t>
      </w:r>
      <w:r>
        <w:t xml:space="preserve"> </w:t>
      </w:r>
      <w:r>
        <w:t xml:space="preserve">bind it as</w:t>
      </w:r>
      <w:r>
        <w:t xml:space="preserve"> </w:t>
      </w:r>
      <w:r>
        <w:rPr>
          <w:b/>
          <w:bCs/>
        </w:rPr>
        <w:t xml:space="preserve">slot-06</w:t>
      </w:r>
      <w:r>
        <w:t xml:space="preserve"> </w:t>
      </w:r>
      <w:r>
        <w:t xml:space="preserve">evidence; run one tabletop contingency test and bind the</w:t>
      </w:r>
      <w:r>
        <w:t xml:space="preserve"> </w:t>
      </w:r>
      <w:r>
        <w:t xml:space="preserve">after-action findings as</w:t>
      </w:r>
      <w:r>
        <w:t xml:space="preserve"> </w:t>
      </w:r>
      <w:r>
        <w:rPr>
          <w:b/>
          <w:bCs/>
        </w:rPr>
        <w:t xml:space="preserve">slot-07 continuity</w:t>
      </w:r>
      <w:r>
        <w:t xml:space="preserve"> </w:t>
      </w:r>
      <w:r>
        <w:t xml:space="preserve">evidence.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CISA Learning, FedRAMP PMO materials, OWASP / Linux</w:t>
      </w:r>
      <w:r>
        <w:t xml:space="preserve"> </w:t>
      </w:r>
      <w:r>
        <w:t xml:space="preserve">Foundation SBOM resources — see Vol V Book 04 §Federal &amp; compliance.</w:t>
      </w:r>
    </w:p>
    <w:bookmarkEnd w:id="37"/>
    <w:bookmarkStart w:id="38" w:name="X9de9c5a7dddb335e12318b4f50312b1b984508f"/>
    <w:p>
      <w:pPr>
        <w:pStyle w:val="Heading1"/>
      </w:pPr>
      <w:r>
        <w:t xml:space="preserve">Module B8 — Authorize &amp; Operate (Vol IV Books 05–06)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IV Book 05 (Cybersecurity Training &amp; Awareness) and Vol IV</w:t>
      </w:r>
      <w:r>
        <w:t xml:space="preserve"> </w:t>
      </w:r>
      <w:r>
        <w:t xml:space="preserve">Book 06 (Authorization Package &amp; ConMon).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the four-dimension training program with its monthly LMS export</w:t>
      </w:r>
      <w:r>
        <w:t xml:space="preserve"> </w:t>
      </w:r>
      <w:r>
        <w:t xml:space="preserve">(Viva Learning Graph API →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 </w:t>
      </w:r>
      <w:r>
        <w:t xml:space="preserve">JSON), then the</w:t>
      </w:r>
      <w:r>
        <w:t xml:space="preserve"> </w:t>
      </w:r>
      <w:r>
        <w:t xml:space="preserve">authorization mechanics — the OSCAL AP/AR/POA&amp;M bundle, the CA-7 ConMon</w:t>
      </w:r>
      <w:r>
        <w:t xml:space="preserve"> </w:t>
      </w:r>
      <w:r>
        <w:t xml:space="preserve">calendar with per-slot evidence freshness rules, and the BOD 26-04 VDR/VER</w:t>
      </w:r>
      <w:r>
        <w:t xml:space="preserve"> </w:t>
      </w:r>
      <w:r>
        <w:t xml:space="preserve">submission flow.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produce a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 </w:t>
      </w:r>
      <w:r>
        <w:t xml:space="preserve">JSON that passes the KSI-022</w:t>
      </w:r>
      <w:r>
        <w:t xml:space="preserve"> </w:t>
      </w:r>
      <w:r>
        <w:t xml:space="preserve">thresholds and bind it as</w:t>
      </w:r>
      <w:r>
        <w:t xml:space="preserve"> </w:t>
      </w:r>
      <w:r>
        <w:rPr>
          <w:b/>
          <w:bCs/>
        </w:rPr>
        <w:t xml:space="preserve">slot-08</w:t>
      </w:r>
      <w:r>
        <w:t xml:space="preserve"> </w:t>
      </w:r>
      <w:r>
        <w:t xml:space="preserve">evidence; then run</w:t>
      </w:r>
      <w:r>
        <w:t xml:space="preserve"> </w:t>
      </w:r>
      <w:r>
        <w:rPr>
          <w:rStyle w:val="VerbatimChar"/>
        </w:rPr>
        <w:t xml:space="preserve">&lt;engine&gt; oscal bundle</w:t>
      </w:r>
      <w:r>
        <w:t xml:space="preserve">-style generation, trace the AP→AR→POA&amp;M UUID links, and simulate a</w:t>
      </w:r>
      <w:r>
        <w:t xml:space="preserve"> </w:t>
      </w:r>
      <w:r>
        <w:t xml:space="preserve">completion-rate drop below 95% to watch the POA&amp;M entry auto-populate.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CISA Learning and SANS (awareness program design),</w:t>
      </w:r>
      <w:r>
        <w:t xml:space="preserve"> </w:t>
      </w:r>
      <w:r>
        <w:t xml:space="preserve">FedRAMP PMO materials, NIST NICE (role mapping) — see Vol V Book 04 §Federal &amp;</w:t>
      </w:r>
      <w:r>
        <w:t xml:space="preserve"> </w:t>
      </w:r>
      <w:r>
        <w:t xml:space="preserve">compliance.</w:t>
      </w:r>
    </w:p>
    <w:p>
      <w:pPr>
        <w:pStyle w:val="FirstParagraph"/>
      </w:pPr>
      <w:r>
        <w:t xml:space="preserve">B8 runs last because it assembles what every other module produced. Its evidence</w:t>
      </w:r>
      <w:r>
        <w:t xml:space="preserve"> </w:t>
      </w:r>
      <w:r>
        <w:t xml:space="preserve">is the whole bundle: 29/29 KSI verdicts self-assessed against the series’</w:t>
      </w:r>
      <w:r>
        <w:t xml:space="preserve"> </w:t>
      </w:r>
      <w:r>
        <w:t xml:space="preserve">internal KSI decomposition (pending CR26 reconciliation and independent SCA),</w:t>
      </w:r>
      <w:r>
        <w:t xml:space="preserve"> </w:t>
      </w:r>
      <w:r>
        <w:t xml:space="preserve">a zero-item POA&amp;M as the</w:t>
      </w:r>
      <w:r>
        <w:t xml:space="preserve"> </w:t>
      </w:r>
      <w:r>
        <w:rPr>
          <w:i/>
          <w:iCs/>
        </w:rPr>
        <w:t xml:space="preserve">target</w:t>
      </w:r>
      <w:r>
        <w:t xml:space="preserve"> </w:t>
      </w:r>
      <w:r>
        <w:t xml:space="preserve">state (expected non-empty until then),</w:t>
      </w:r>
      <w:r>
        <w:t xml:space="preserve"> </w:t>
      </w:r>
      <w:r>
        <w:t xml:space="preserve">and the training record that closes the slot Volume V both teaches and is.</w:t>
      </w:r>
    </w:p>
    <w:bookmarkEnd w:id="38"/>
    <w:bookmarkStart w:id="39" w:name="X876fea81043d6b916c46390c94e67694d7827de"/>
    <w:p>
      <w:pPr>
        <w:pStyle w:val="Heading1"/>
      </w:pPr>
      <w:r>
        <w:t xml:space="preserve">The Capstone — One Module, Evidence-Complete</w:t>
      </w:r>
    </w:p>
    <w:p>
      <w:pPr>
        <w:pStyle w:val="FirstParagraph"/>
      </w:pPr>
      <w:r>
        <w:t xml:space="preserve">Pick one module (B1–B8). Implement or lab-simulate it end-to-end, land the</w:t>
      </w:r>
      <w:r>
        <w:t xml:space="preserve"> </w:t>
      </w:r>
      <w:r>
        <w:t xml:space="preserve">evidence where the slot mapping binds it, then regenerate the verdicts:</w:t>
      </w:r>
    </w:p>
    <w:p>
      <w:pPr>
        <w:pStyle w:val="SourceCode"/>
      </w:pP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ksi </w:t>
      </w:r>
      <w:r>
        <w:rPr>
          <w:rStyle w:val="ExtensionTok"/>
        </w:rPr>
        <w:t xml:space="preserve">evaluate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--ir</w:t>
      </w:r>
      <w:r>
        <w:rPr>
          <w:rStyle w:val="NormalTok"/>
        </w:rPr>
        <w:t xml:space="preserve"> ./output/ir/tenant.ir.json </w:t>
      </w:r>
      <w:r>
        <w:rPr>
          <w:rStyle w:val="AttributeTok"/>
        </w:rPr>
        <w:t xml:space="preserve">--out</w:t>
      </w:r>
      <w:r>
        <w:rPr>
          <w:rStyle w:val="NormalTok"/>
        </w:rPr>
        <w:t xml:space="preserve"> ./output/ksi/tenant.ksi.json</w:t>
      </w:r>
      <w:r>
        <w:br/>
      </w: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oscal </w:t>
      </w:r>
      <w:r>
        <w:rPr>
          <w:rStyle w:val="ExtensionTok"/>
        </w:rPr>
        <w:t xml:space="preserve">ksi-ar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--output</w:t>
      </w:r>
      <w:r>
        <w:rPr>
          <w:rStyle w:val="NormalTok"/>
        </w:rPr>
        <w:t xml:space="preserve"> exports/oscal/ksi-ar.json</w:t>
      </w:r>
    </w:p>
    <w:p>
      <w:pPr>
        <w:pStyle w:val="FirstParagraph"/>
      </w:pPr>
      <w:r>
        <w:t xml:space="preserve">Completion means the Assessment Results show your module’s slot verdict fed by</w:t>
      </w:r>
      <w:r>
        <w:t xml:space="preserve"> </w:t>
      </w:r>
      <w:r>
        <w:rPr>
          <w:b/>
          <w:bCs/>
        </w:rPr>
        <w:t xml:space="preserve">your</w:t>
      </w:r>
      <w:r>
        <w:t xml:space="preserve"> </w:t>
      </w:r>
      <w:r>
        <w:t xml:space="preserve">artifact — the same bar as the governance substrate’s Operator track (</w:t>
      </w:r>
      <w:r>
        <w:t xml:space="preserve">“clean</w:t>
      </w:r>
      <w:r>
        <w:t xml:space="preserve"> </w:t>
      </w:r>
      <w:r>
        <w:t xml:space="preserve">walker/drift run”</w:t>
      </w:r>
      <w:r>
        <w:t xml:space="preserve">), applied to the Compliance vertical. Score the result against Vol V</w:t>
      </w:r>
      <w:r>
        <w:t xml:space="preserve"> </w:t>
      </w:r>
      <w:r>
        <w:t xml:space="preserve">Book 03’s rubric ladder.</w:t>
      </w:r>
    </w:p>
    <w:bookmarkEnd w:id="39"/>
    <w:bookmarkStart w:id="40" w:name="module-sequencing-and-track-pairing"/>
    <w:p>
      <w:pPr>
        <w:pStyle w:val="Heading1"/>
      </w:pPr>
      <w:r>
        <w:t xml:space="preserve">Module Sequencing and Track Pairing</w:t>
      </w:r>
    </w:p>
    <w:p>
      <w:pPr>
        <w:pStyle w:val="FirstParagraph"/>
      </w:pPr>
      <w:r>
        <w:t xml:space="preserve">B1 → B2 → B3 → B4 is a real dependency chain: addressing before admission and</w:t>
      </w:r>
      <w:r>
        <w:t xml:space="preserve"> </w:t>
      </w:r>
      <w:r>
        <w:t xml:space="preserve">identity, identity before transport policy, transport before data placement.</w:t>
      </w:r>
      <w:r>
        <w:t xml:space="preserve"> </w:t>
      </w:r>
      <w:r>
        <w:t xml:space="preserve">B5–B7 run in parallel once B2’s identity layer exists; B8 runs last. Track A</w:t>
      </w:r>
      <w:r>
        <w:t xml:space="preserve"> </w:t>
      </w:r>
      <w:r>
        <w:t xml:space="preserve">(Book 01) modules interleave freely; many teams pair each B-module with its</w:t>
      </w:r>
      <w:r>
        <w:t xml:space="preserve"> </w:t>
      </w:r>
      <w:r>
        <w:t xml:space="preserve">A-module — B1↔A2, B2↔A1/A5, B3↔A1/A3, B4↔A1, B5↔A1/A5, B6↔A4/A6, B7↔A6/A7,</w:t>
      </w:r>
      <w:r>
        <w:t xml:space="preserve"> </w:t>
      </w:r>
      <w:r>
        <w:t xml:space="preserve">B8↔A8.</w:t>
      </w:r>
    </w:p>
    <w:p>
      <w:pPr>
        <w:pStyle w:val="TableCaption"/>
      </w:pPr>
      <w:r>
        <w:t xml:space="preserve">Track B modules — build cluster and the evidence slot each lands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Track B modules — build cluster and the evidence slot each lands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Module</w:t>
            </w:r>
          </w:p>
        </w:tc>
        <w:tc>
          <w:tcPr/>
          <w:p>
            <w:pPr>
              <w:pStyle w:val="Compact"/>
            </w:pPr>
            <w:r>
              <w:t xml:space="preserve">Builds</w:t>
            </w:r>
          </w:p>
        </w:tc>
        <w:tc>
          <w:tcPr/>
          <w:p>
            <w:pPr>
              <w:pStyle w:val="Compact"/>
            </w:pPr>
            <w:r>
              <w:t xml:space="preserve">Lands evidence 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</w:t>
            </w:r>
          </w:p>
        </w:tc>
        <w:tc>
          <w:tcPr/>
          <w:p>
            <w:pPr>
              <w:pStyle w:val="Compact"/>
            </w:pPr>
            <w:r>
              <w:t xml:space="preserve">Vol I Bk 01</w:t>
            </w:r>
          </w:p>
        </w:tc>
        <w:tc>
          <w:tcPr/>
          <w:p>
            <w:pPr>
              <w:pStyle w:val="Compact"/>
            </w:pPr>
            <w:r>
              <w:t xml:space="preserve">slot 3 (network — CM-8 addressing anchor)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B2</w:t>
            </w:r>
          </w:p>
        </w:tc>
        <w:tc>
          <w:tcPr/>
          <w:p>
            <w:pPr>
              <w:pStyle w:val="Compact"/>
            </w:pPr>
            <w:r>
              <w:t xml:space="preserve">Vol I Bk 02–04</w:t>
            </w:r>
          </w:p>
        </w:tc>
        <w:tc>
          <w:tcPr/>
          <w:p>
            <w:pPr>
              <w:pStyle w:val="Compact"/>
            </w:pPr>
            <w:r>
              <w:t xml:space="preserve">slot 1 (identity); slot 5 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B3</w:t>
            </w:r>
          </w:p>
        </w:tc>
        <w:tc>
          <w:tcPr/>
          <w:p>
            <w:pPr>
              <w:pStyle w:val="Compact"/>
            </w:pPr>
            <w:r>
              <w:t xml:space="preserve">Vol I Bk 05–07</w:t>
            </w:r>
          </w:p>
        </w:tc>
        <w:tc>
          <w:tcPr/>
          <w:p>
            <w:pPr>
              <w:pStyle w:val="Compact"/>
            </w:pPr>
            <w:r>
              <w:t xml:space="preserve">slot 3 (network)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B4</w:t>
            </w:r>
          </w:p>
        </w:tc>
        <w:tc>
          <w:tcPr/>
          <w:p>
            <w:pPr>
              <w:pStyle w:val="Compact"/>
            </w:pPr>
            <w:r>
              <w:t xml:space="preserve">Vol II Bk 01–03</w:t>
            </w:r>
          </w:p>
        </w:tc>
        <w:tc>
          <w:tcPr/>
          <w:p>
            <w:pPr>
              <w:pStyle w:val="Compact"/>
            </w:pPr>
            <w:r>
              <w:t xml:space="preserve">slot 1 (identity)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B5</w:t>
            </w:r>
          </w:p>
        </w:tc>
        <w:tc>
          <w:tcPr/>
          <w:p>
            <w:pPr>
              <w:pStyle w:val="Compact"/>
            </w:pPr>
            <w:r>
              <w:t xml:space="preserve">Vol III Bk 01</w:t>
            </w:r>
          </w:p>
        </w:tc>
        <w:tc>
          <w:tcPr/>
          <w:p>
            <w:pPr>
              <w:pStyle w:val="Compact"/>
            </w:pPr>
            <w:r>
              <w:t xml:space="preserve">slots 1 + 5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B6</w:t>
            </w:r>
          </w:p>
        </w:tc>
        <w:tc>
          <w:tcPr/>
          <w:p>
            <w:pPr>
              <w:pStyle w:val="Compact"/>
            </w:pPr>
            <w:r>
              <w:t xml:space="preserve">Vol III Bk 02–07</w:t>
            </w:r>
          </w:p>
        </w:tc>
        <w:tc>
          <w:tcPr/>
          <w:p>
            <w:pPr>
              <w:pStyle w:val="Compact"/>
            </w:pPr>
            <w:r>
              <w:t xml:space="preserve">slots 4 + 5 + 6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B7</w:t>
            </w:r>
          </w:p>
        </w:tc>
        <w:tc>
          <w:tcPr/>
          <w:p>
            <w:pPr>
              <w:pStyle w:val="Compact"/>
            </w:pPr>
            <w:r>
              <w:t xml:space="preserve">Vol IV Bk 01–04</w:t>
            </w:r>
          </w:p>
        </w:tc>
        <w:tc>
          <w:tcPr/>
          <w:p>
            <w:pPr>
              <w:pStyle w:val="Compact"/>
            </w:pPr>
            <w:r>
              <w:t xml:space="preserve">slots 6 + 7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B8</w:t>
            </w:r>
          </w:p>
        </w:tc>
        <w:tc>
          <w:tcPr/>
          <w:p>
            <w:pPr>
              <w:pStyle w:val="Compact"/>
            </w:pPr>
            <w:r>
              <w:t xml:space="preserve">Vol IV Bk 05–06</w:t>
            </w:r>
          </w:p>
        </w:tc>
        <w:tc>
          <w:tcPr/>
          <w:p>
            <w:pPr>
              <w:pStyle w:val="Compact"/>
            </w:pPr>
            <w:r>
              <w:t xml:space="preserve">slot 8; assembles all eight</w:t>
            </w:r>
          </w:p>
        </w:tc>
      </w:tr>
    </w:tbl>
    <w:bookmarkEnd w:id="40"/>
    <w:bookmarkStart w:id="42" w:name="series-context-vol-v-book-02"/>
    <w:p>
      <w:pPr>
        <w:pStyle w:val="Heading1"/>
      </w:pPr>
      <w:r>
        <w:t xml:space="preserve">Series Context — Vol V Book 02</w:t>
      </w:r>
    </w:p>
    <w:p>
      <w:pPr>
        <w:pStyle w:val="FirstParagraph"/>
      </w:pPr>
      <w:r>
        <w:t xml:space="preserve">The implementation track is the engineer’s half of Volume V. It builds the same</w:t>
      </w:r>
      <w:r>
        <w:t xml:space="preserve"> </w:t>
      </w:r>
      <w:r>
        <w:t xml:space="preserve">Volumes I–IV sources the compliance track (Vol V Book 01) reads, and it exists to</w:t>
      </w:r>
      <w:r>
        <w:t xml:space="preserve"> </w:t>
      </w:r>
      <w:r>
        <w:t xml:space="preserve">enforce one discipline the rest of the series assumes but never states as a rule:</w:t>
      </w:r>
      <w:r>
        <w:t xml:space="preserve"> </w:t>
      </w:r>
      <w:r>
        <w:t xml:space="preserve">a control is not closed until its evidence is bound where the KSI can read it.</w:t>
      </w:r>
      <w:r>
        <w:t xml:space="preserve"> </w:t>
      </w:r>
      <w:r>
        <w:t xml:space="preserve">The lab environments the modules call for — fixture, trial-tenant, and</w:t>
      </w:r>
      <w:r>
        <w:t xml:space="preserve"> </w:t>
      </w:r>
      <w:r>
        <w:t xml:space="preserve">product-eval tiers — are stood up in Vol V Book 04; the artifacts the modules</w:t>
      </w:r>
      <w:r>
        <w:t xml:space="preserve"> </w:t>
      </w:r>
      <w:r>
        <w:t xml:space="preserve">produce are scored against Vol V Book 03. Build it, land it, and the training</w:t>
      </w:r>
      <w:r>
        <w:t xml:space="preserve"> </w:t>
      </w:r>
      <w:r>
        <w:t xml:space="preserve">slot (KSI-CED) that Volume V both teaches and is closes on the evidence of the</w:t>
      </w:r>
      <w:r>
        <w:t xml:space="preserve"> </w:t>
      </w:r>
      <w:r>
        <w:t xml:space="preserve">work itself.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Federal Compliance — Vol V Book 02 of the series. Volume V is</w:t>
      </w:r>
      <w:r>
        <w:rPr>
          <w:i/>
          <w:iCs/>
        </w:rPr>
        <w:t xml:space="preserve"> </w:t>
      </w:r>
      <w:r>
        <w:rPr>
          <w:i/>
          <w:iCs/>
        </w:rPr>
        <w:t xml:space="preserve">the enablement layer; this book is its implementation track, the counterpart to</w:t>
      </w:r>
      <w:r>
        <w:rPr>
          <w:i/>
          <w:iCs/>
        </w:rPr>
        <w:t xml:space="preserve"> </w:t>
      </w:r>
      <w:r>
        <w:rPr>
          <w:i/>
          <w:iCs/>
        </w:rPr>
        <w:t xml:space="preserve">Vol V Book 01 (the compliance track). Every module ends by landing an evidence</w:t>
      </w:r>
      <w:r>
        <w:rPr>
          <w:i/>
          <w:iCs/>
        </w:rPr>
        <w:t xml:space="preserve"> </w:t>
      </w:r>
      <w:r>
        <w:rPr>
          <w:i/>
          <w:iCs/>
        </w:rPr>
        <w:t xml:space="preserve">artifact a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fedramp_aan_catalog</w:t>
      </w:r>
      <w:r>
        <w:rPr>
          <w:i/>
          <w:iCs/>
        </w:rPr>
        <w:t xml:space="preserve"> </w:t>
      </w:r>
      <w:r>
        <w:rPr>
          <w:i/>
          <w:iCs/>
        </w:rPr>
        <w:t xml:space="preserve">slot mapping can bind. Control-closure and KSI</w:t>
      </w:r>
      <w:r>
        <w:rPr>
          <w:i/>
          <w:iCs/>
        </w:rPr>
        <w:t xml:space="preserve"> </w:t>
      </w:r>
      <w:r>
        <w:rPr>
          <w:i/>
          <w:iCs/>
        </w:rPr>
        <w:t xml:space="preserve">claims are self-assessed against the series’ internal KSI decomposition (modeled on the</w:t>
      </w:r>
      <w:r>
        <w:rPr>
          <w:i/>
          <w:iCs/>
        </w:rPr>
        <w:t xml:space="preserve"> </w:t>
      </w:r>
      <w:r>
        <w:rPr>
          <w:i/>
          <w:iCs/>
        </w:rPr>
        <w:t xml:space="preserve">FedRAMP 20x CR26 KSI schema), pending independent security control assessment</w:t>
      </w:r>
      <w:r>
        <w:rPr>
          <w:i/>
          <w:iCs/>
        </w:rPr>
        <w:t xml:space="preserve"> </w:t>
      </w:r>
      <w:r>
        <w:rPr>
          <w:i/>
          <w:iCs/>
        </w:rPr>
        <w:t xml:space="preserve">(SCA) and formal FedRAMP PMO / AO review.</w:t>
      </w:r>
    </w:p>
    <w:bookmarkStart w:id="41" w:name="draft-proposal-subject-to-review-3"/>
    <w:p>
      <w:pPr>
        <w:pStyle w:val="Heading2"/>
      </w:pPr>
      <w:r>
        <w:t xml:space="preserve">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2026-07-18 06:20 ET</w:t>
      </w:r>
    </w:p>
    <w:bookmarkEnd w:id="41"/>
    <w:bookmarkEnd w:id="42"/>
    <w:bookmarkStart w:id="43" w:name="what-this-document-addresses-2"/>
    <w:p>
      <w:pPr>
        <w:pStyle w:val="Heading1"/>
      </w:pPr>
      <w:r>
        <w:t xml:space="preserve">What This Document Addresses</w:t>
      </w:r>
    </w:p>
    <w:p>
      <w:pPr>
        <w:pStyle w:val="FirstParagraph"/>
      </w:pPr>
      <w:r>
        <w:t xml:space="preserve">The compliance track (Vol V Book 01) and the implementation track (Vol V</w:t>
      </w:r>
      <w:r>
        <w:t xml:space="preserve"> </w:t>
      </w:r>
      <w:r>
        <w:t xml:space="preserve">Book 02) each end in a capstone. This book grades them, and it turns the grade</w:t>
      </w:r>
      <w:r>
        <w:t xml:space="preserve"> </w:t>
      </w:r>
      <w:r>
        <w:t xml:space="preserve">into a credential. It supplies three things: a</w:t>
      </w:r>
      <w:r>
        <w:t xml:space="preserve"> </w:t>
      </w:r>
      <w:r>
        <w:rPr>
          <w:b/>
          <w:bCs/>
        </w:rPr>
        <w:t xml:space="preserve">rubric ladder</w:t>
      </w:r>
      <w:r>
        <w:t xml:space="preserve"> </w:t>
      </w:r>
      <w:r>
        <w:t xml:space="preserve">that scores an</w:t>
      </w:r>
      <w:r>
        <w:t xml:space="preserve"> </w:t>
      </w:r>
      <w:r>
        <w:t xml:space="preserve">evidence claim the way an assessor would; the</w:t>
      </w:r>
      <w:r>
        <w:t xml:space="preserve"> </w:t>
      </w:r>
      <w:r>
        <w:rPr>
          <w:b/>
          <w:bCs/>
        </w:rPr>
        <w:t xml:space="preserve">KSI Closure Necessity Matrix</w:t>
      </w:r>
      <w:r>
        <w:t xml:space="preserve">,</w:t>
      </w:r>
      <w:r>
        <w:t xml:space="preserve"> </w:t>
      </w:r>
      <w:r>
        <w:t xml:space="preserve">the authoritative one-row-per-family table that doubles as the certification exam;</w:t>
      </w:r>
      <w:r>
        <w:t xml:space="preserve"> </w:t>
      </w:r>
      <w:r>
        <w:t xml:space="preserve">and the definition of the two credentials the Academy confers —</w:t>
      </w:r>
      <w:r>
        <w:t xml:space="preserve"> </w:t>
      </w:r>
      <w:r>
        <w:rPr>
          <w:b/>
          <w:bCs/>
        </w:rPr>
        <w:t xml:space="preserve">Compliance</w:t>
      </w:r>
      <w:r>
        <w:rPr>
          <w:b/>
          <w:bCs/>
        </w:rPr>
        <w:t xml:space="preserve"> </w:t>
      </w:r>
      <w:r>
        <w:rPr>
          <w:b/>
          <w:bCs/>
        </w:rPr>
        <w:t xml:space="preserve">Practitioner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Compliance Assessor</w:t>
      </w:r>
      <w:r>
        <w:t xml:space="preserve">.</w:t>
      </w:r>
    </w:p>
    <w:p>
      <w:pPr>
        <w:pStyle w:val="BodyText"/>
      </w:pPr>
      <w:r>
        <w:t xml:space="preserve">The rubric language is deliberately the language an assessor uses, because the</w:t>
      </w:r>
      <w:r>
        <w:t xml:space="preserve"> </w:t>
      </w:r>
      <w:r>
        <w:t xml:space="preserve">competency being certified is exactly the competency a 3PAO exercises: not</w:t>
      </w:r>
      <w:r>
        <w:t xml:space="preserve"> </w:t>
      </w:r>
      <w:r>
        <w:t xml:space="preserve">“can</w:t>
      </w:r>
      <w:r>
        <w:t xml:space="preserve"> </w:t>
      </w:r>
      <w:r>
        <w:t xml:space="preserve">you assert a control is met”</w:t>
      </w:r>
      <w:r>
        <w:t xml:space="preserve"> </w:t>
      </w:r>
      <w:r>
        <w:t xml:space="preserve">but</w:t>
      </w:r>
      <w:r>
        <w:t xml:space="preserve"> </w:t>
      </w:r>
      <w:r>
        <w:t xml:space="preserve">“can you trace and evidence the closure, and</w:t>
      </w:r>
      <w:r>
        <w:t xml:space="preserve"> </w:t>
      </w:r>
      <w:r>
        <w:t xml:space="preserve">say why no alternate mechanism closes it.”</w:t>
      </w:r>
      <w:r>
        <w:t xml:space="preserve"> </w:t>
      </w:r>
      <w:r>
        <w:t xml:space="preserve">That competency is the AT-2/AT-3</w:t>
      </w:r>
      <w:r>
        <w:t xml:space="preserve"> </w:t>
      </w:r>
      <w:r>
        <w:t xml:space="preserve">training closure the program’s own authorization package depends on (KSI-CED) —</w:t>
      </w:r>
      <w:r>
        <w:t xml:space="preserve"> </w:t>
      </w:r>
      <w:r>
        <w:t xml:space="preserve">so this book is both the Academy’s grading instrument and one of the series’ own</w:t>
      </w:r>
      <w:r>
        <w:t xml:space="preserve"> </w:t>
      </w:r>
      <w:r>
        <w:t xml:space="preserve">evidence artifacts.</w:t>
      </w:r>
    </w:p>
    <w:bookmarkEnd w:id="43"/>
    <w:bookmarkStart w:id="44" w:name="the-scale-applies-to-every-slot"/>
    <w:p>
      <w:pPr>
        <w:pStyle w:val="Heading1"/>
      </w:pPr>
      <w:r>
        <w:t xml:space="preserve">The Scale (Applies to Every Slot)</w:t>
      </w:r>
    </w:p>
    <w:p>
      <w:pPr>
        <w:pStyle w:val="TableCaption"/>
      </w:pPr>
      <w:r>
        <w:t xml:space="preserve">The four-level assessment scale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four-level assessment scale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Missing</w:t>
            </w:r>
          </w:p>
        </w:tc>
        <w:tc>
          <w:tcPr/>
          <w:p>
            <w:pPr>
              <w:pStyle w:val="Compact"/>
            </w:pPr>
            <w:r>
              <w:t xml:space="preserve">Slot not addressed, or addressed without reference to the books or the mapping YAML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Named</w:t>
            </w:r>
          </w:p>
        </w:tc>
        <w:tc>
          <w:tcPr/>
          <w:p>
            <w:pPr>
              <w:pStyle w:val="Compact"/>
            </w:pPr>
            <w:r>
              <w:t xml:space="preserve">Feeding books and KSI category named correctly, but controls or evidence flow are wrong/absent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Traced</w:t>
            </w:r>
          </w:p>
        </w:tc>
        <w:tc>
          <w:tcPr/>
          <w:p>
            <w:pPr>
              <w:pStyle w:val="Compact"/>
            </w:pPr>
            <w:r>
              <w:t xml:space="preserve">book → NIST anchor → KSI category → evidence-source chain is complete and correct against the slot mapping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Assessor-ready</w:t>
            </w:r>
          </w:p>
        </w:tc>
        <w:tc>
          <w:tcPr/>
          <w:p>
            <w:pPr>
              <w:pStyle w:val="Compact"/>
            </w:pPr>
            <w:r>
              <w:t xml:space="preserve">Level 2</w:t>
            </w:r>
            <w:r>
              <w:t xml:space="preserve"> </w:t>
            </w:r>
            <w:r>
              <w:rPr>
                <w:b/>
                <w:bCs/>
              </w:rPr>
              <w:t xml:space="preserve">plus</w:t>
            </w:r>
            <w:r>
              <w:t xml:space="preserve"> </w:t>
            </w:r>
            <w:r>
              <w:t xml:space="preserve">a real verdict from</w:t>
            </w:r>
            <w:r>
              <w:t xml:space="preserve"> </w:t>
            </w:r>
            <w:r>
              <w:rPr>
                <w:rStyle w:val="VerbatimChar"/>
              </w:rPr>
              <w:t xml:space="preserve">&lt;engine&gt; oscal ksi-ar</w:t>
            </w:r>
            <w:r>
              <w:t xml:space="preserve">, an honest gap statement for anything not-evaluated, and the deadline that gap answers to</w:t>
            </w:r>
          </w:p>
        </w:tc>
      </w:tr>
    </w:tbl>
    <w:p>
      <w:pPr>
        <w:pStyle w:val="BodyText"/>
      </w:pPr>
      <w:r>
        <w:rPr>
          <w:b/>
          <w:bCs/>
        </w:rPr>
        <w:t xml:space="preserve">Pass bar.</w:t>
      </w:r>
      <w:r>
        <w:t xml:space="preserve"> </w:t>
      </w:r>
      <w:r>
        <w:t xml:space="preserve">Every slot at level 2 or higher,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at least three slots at</w:t>
      </w:r>
      <w:r>
        <w:t xml:space="preserve"> </w:t>
      </w:r>
      <w:r>
        <w:t xml:space="preserve">level 3. All eight at level 3 is the</w:t>
      </w:r>
      <w:r>
        <w:t xml:space="preserve"> </w:t>
      </w:r>
      <w:r>
        <w:t xml:space="preserve">“distinguished”</w:t>
      </w:r>
      <w:r>
        <w:t xml:space="preserve"> </w:t>
      </w:r>
      <w:r>
        <w:t xml:space="preserve">outcome — it is, in</w:t>
      </w:r>
      <w:r>
        <w:t xml:space="preserve"> </w:t>
      </w:r>
      <w:r>
        <w:t xml:space="preserve">substance, a ConMon narrative an assessor could read.</w:t>
      </w:r>
    </w:p>
    <w:bookmarkEnd w:id="44"/>
    <w:bookmarkStart w:id="45" w:name="X64b54053964b77498c4d28809746807f24df02e"/>
    <w:p>
      <w:pPr>
        <w:pStyle w:val="Heading1"/>
      </w:pPr>
      <w:r>
        <w:t xml:space="preserve">Common Checks (Scored Once, Apply to the Whole Capstone)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Check</w:t>
            </w:r>
          </w:p>
        </w:tc>
        <w:tc>
          <w:tcPr/>
          <w:p>
            <w:pPr>
              <w:pStyle w:val="Compact"/>
            </w:pPr>
            <w:r>
              <w:t xml:space="preserve">Yes/No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ksi-ar</w:t>
            </w:r>
            <w:r>
              <w:t xml:space="preserve"> </w:t>
            </w:r>
            <w:r>
              <w:t xml:space="preserve">output file is attached/linked, not just described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Every control ID cited appears in the slot mapping or the book itself (no invented controls)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Scaffold / not-evaluated rules are stated as gaps, not glossed as satisfied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Each gap names its forcing deadline (e.g., BOD 26-04 Dec 7 2026; 20x mandatory Jan 1 2027)</w:t>
            </w:r>
          </w:p>
        </w:tc>
        <w:tc>
          <w:tcPr/>
          <w:p>
            <w:pPr>
              <w:pStyle w:val="Compact"/>
            </w:pPr>
          </w:p>
        </w:tc>
      </w:tr>
    </w:tbl>
    <w:bookmarkEnd w:id="45"/>
    <w:bookmarkStart w:id="54" w:name="per-slot-rubrics"/>
    <w:p>
      <w:pPr>
        <w:pStyle w:val="Heading1"/>
      </w:pPr>
      <w:r>
        <w:t xml:space="preserve">Per-Slot Rubrics</w:t>
      </w:r>
    </w:p>
    <w:p>
      <w:pPr>
        <w:pStyle w:val="FirstParagraph"/>
      </w:pPr>
      <w:r>
        <w:t xml:space="preserve">Each rubric names the feeding books by volume coordinate, the level-2 evidence,</w:t>
      </w:r>
      <w:r>
        <w:t xml:space="preserve"> </w:t>
      </w:r>
      <w:r>
        <w:t xml:space="preserve">and what level 3 adds. They mirror the eight modules of Book 01.</w:t>
      </w:r>
    </w:p>
    <w:bookmarkStart w:id="46" w:name="slot-1-identity-ksi-iam"/>
    <w:p>
      <w:pPr>
        <w:pStyle w:val="Heading2"/>
      </w:pPr>
      <w:r>
        <w:t xml:space="preserve">Slot 1 — Identity (KSI-IAM)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 Bk 03/04/05 · Vol II Bk 01 · Vol III Bk 01 named (Vol II Bk 02 procedural)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IA-2(+1/2/11), IA-5, IA-11, AC-2(+1), AC-3, AC-5/6 family, AC-17, CA-7 mapped to the right book</w:t>
            </w:r>
          </w:p>
        </w:tc>
        <w:tc>
          <w:tcPr/>
          <w:p>
            <w:pPr>
              <w:pStyle w:val="Compact"/>
            </w:pPr>
            <w:r>
              <w:t xml:space="preserve">Before/after table for at least one AC-6 enhancement (Vol III Bk 01 style)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Sign-in/risk logs named as the source</w:t>
            </w:r>
          </w:p>
        </w:tc>
        <w:tc>
          <w:tcPr/>
          <w:p>
            <w:pPr>
              <w:pStyle w:val="Compact"/>
            </w:pPr>
            <w:r>
              <w:t xml:space="preserve">A privileged-role trace: PIM design → control → KSI rule → audit-log entry</w:t>
            </w:r>
          </w:p>
        </w:tc>
      </w:tr>
    </w:tbl>
    <w:bookmarkEnd w:id="46"/>
    <w:bookmarkStart w:id="47" w:name="slot-2-addressing-ksi-piy"/>
    <w:p>
      <w:pPr>
        <w:pStyle w:val="Heading2"/>
      </w:pPr>
      <w:r>
        <w:t xml:space="preserve">Slot 2 — Addressing (KSI-PIY)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 Bk 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CM-8 / AC-4 anchors; the 16-control closure claim attributed to the roadmap, not asserted as fact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IPAM inventory named as the attestation</w:t>
            </w:r>
          </w:p>
        </w:tc>
        <w:tc>
          <w:tcPr/>
          <w:p>
            <w:pPr>
              <w:pStyle w:val="Compact"/>
            </w:pPr>
            <w:r>
              <w:t xml:space="preserve">An actual inventory artifact (vendor export or DDI-lab fixture) referenced from the slot-02 mapping</w:t>
            </w:r>
          </w:p>
        </w:tc>
      </w:tr>
    </w:tbl>
    <w:bookmarkEnd w:id="47"/>
    <w:bookmarkStart w:id="48" w:name="slot-3-network-ksi-cna"/>
    <w:p>
      <w:pPr>
        <w:pStyle w:val="Heading2"/>
      </w:pPr>
      <w:r>
        <w:t xml:space="preserve">Slot 3 — Network (KSI-CNA)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 Bk 05/06/07 · Vol II Bk 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SC-8 / SC-7 / CA-7 anchors; Vol II Bk 03’s SC/SI depth distinguished from the transport books’ argument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One application-aware path policy mapped to SC-8</w:t>
            </w:r>
          </w:p>
        </w:tc>
        <w:tc>
          <w:tcPr/>
          <w:p>
            <w:pPr>
              <w:pStyle w:val="Compact"/>
            </w:pPr>
            <w:r>
              <w:t xml:space="preserve">The CA-7 continuous signal that proves the policy stays enforced, named concretely; the customer-owned SC-7 edge (Vol I Bk 07) called out</w:t>
            </w:r>
          </w:p>
        </w:tc>
      </w:tr>
    </w:tbl>
    <w:bookmarkEnd w:id="48"/>
    <w:bookmarkStart w:id="49" w:name="slot-4-telemetry-ksi-mla"/>
    <w:p>
      <w:pPr>
        <w:pStyle w:val="Heading2"/>
      </w:pPr>
      <w:r>
        <w:t xml:space="preserve">Slot 4 — Telemetry (KSI-MLA)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III Bk 02/05/06/07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CA-7 / SI-4 anchors; RA-5 family, SI-2, AU-6/7/8/11, IR-4/6/8 assigned to the right book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KEV-scenario trace: Defender VM finding → Sentinel incident → SI-4/RA-5 closure</w:t>
            </w:r>
          </w:p>
        </w:tc>
        <w:tc>
          <w:tcPr/>
          <w:p>
            <w:pPr>
              <w:pStyle w:val="Compact"/>
            </w:pPr>
            <w:r>
              <w:t xml:space="preserve">A fired-rule artifact plus the AU-11 retention argument, correlated through the Vol III Bk 07 evidence fabric</w:t>
            </w:r>
          </w:p>
        </w:tc>
      </w:tr>
    </w:tbl>
    <w:bookmarkEnd w:id="49"/>
    <w:bookmarkStart w:id="50" w:name="slot-5-endpoint-ksi-piy"/>
    <w:p>
      <w:pPr>
        <w:pStyle w:val="Heading2"/>
      </w:pPr>
      <w:r>
        <w:t xml:space="preserve">Slot 5 — Endpoint (KSI-PIY)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 Bk 02 · Vol III Bk 01/03/04 · Vol IV Bk 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CM-8 / IA-3 anchors; SI-2 remediation (Vol III Bk 03); CSPM/CNAPP exposure (Vol III Bk 04); PT entry points (Vol IV Bk 04)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Endpoint-inventory statement covering device identity, completeness, and remediation actuation</w:t>
            </w:r>
          </w:p>
        </w:tc>
        <w:tc>
          <w:tcPr/>
          <w:p>
            <w:pPr>
              <w:pStyle w:val="Compact"/>
            </w:pPr>
            <w:r>
              <w:t xml:space="preserve">The PII-handling endpoint subset called out with its Vol IV Bk 04 transparency treatment</w:t>
            </w:r>
          </w:p>
        </w:tc>
      </w:tr>
    </w:tbl>
    <w:bookmarkEnd w:id="50"/>
    <w:bookmarkStart w:id="51" w:name="Xee9a45a9ca9425b969aff347db821642f59e44d"/>
    <w:p>
      <w:pPr>
        <w:pStyle w:val="Heading2"/>
      </w:pPr>
      <w:r>
        <w:t xml:space="preserve">Slot 6 — Security Configuration &amp; Change (KSI-CMT)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III Bk 04/06 · Vol IV Bk 02/03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CM-2 / AC-4 anchors; SR family from Vol IV Bk 02; PM family from Vol IV Bk 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The BOD 26-04 submission story: SBOM artifacts → KSI-011–014 activation</w:t>
            </w:r>
          </w:p>
        </w:tc>
        <w:tc>
          <w:tcPr/>
          <w:p>
            <w:pPr>
              <w:pStyle w:val="Compact"/>
            </w:pPr>
            <w:r>
              <w:t xml:space="preserve">An actual SBOM/VDR artifact, and the Vol IV Bk 06 submission cadence stated against the Dec 7 2026 gate</w:t>
            </w:r>
          </w:p>
        </w:tc>
      </w:tr>
    </w:tbl>
    <w:bookmarkEnd w:id="51"/>
    <w:bookmarkStart w:id="52" w:name="slot-7-continuity-ksi-rpl"/>
    <w:p>
      <w:pPr>
        <w:pStyle w:val="Heading2"/>
      </w:pPr>
      <w:r>
        <w:t xml:space="preserve">Slot 7 — Continuity (KSI-RPL)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IV Bk 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CP-2, CP-3, CP-4, CP-6, CP-7, CP-8, CP-9, CP-10 with enhancement counts right (CP-5 withdrawn in Rev 5, incorporated into CP-2)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One contingency-test exercise mapped to CP-4 via the slot-07 binding</w:t>
            </w:r>
          </w:p>
        </w:tc>
        <w:tc>
          <w:tcPr/>
          <w:p>
            <w:pPr>
              <w:pStyle w:val="Compact"/>
            </w:pPr>
            <w:r>
              <w:t xml:space="preserve">A tabletop after-action report with findings and owners — a zero-finding report scores 0 here, per Vol IV Bk 01</w:t>
            </w:r>
          </w:p>
        </w:tc>
      </w:tr>
    </w:tbl>
    <w:bookmarkEnd w:id="52"/>
    <w:bookmarkStart w:id="53" w:name="slot-8-training-ksi-ced"/>
    <w:p>
      <w:pPr>
        <w:pStyle w:val="Heading2"/>
      </w:pPr>
      <w:r>
        <w:t xml:space="preserve">Slot 8 — Training (KSI-CED)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IV Bk 05 (Vol IV Bk 06 as the freshness/ConMon context)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AT-2(+1/+2), AT-3(+3/+5), AT-4, CP-3, IR-2 mapped to the four training dimensions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training-effectiveness-record</w:t>
            </w:r>
            <w:r>
              <w:t xml:space="preserve"> </w:t>
            </w:r>
            <w:r>
              <w:t xml:space="preserve">JSON named as the KSI-022 evidence contract, with the ≥95% thresholds</w:t>
            </w:r>
          </w:p>
        </w:tc>
        <w:tc>
          <w:tcPr/>
          <w:p>
            <w:pPr>
              <w:pStyle w:val="Compact"/>
            </w:pPr>
            <w:r>
              <w:t xml:space="preserve">An actual record (lab-generated is fine) passing the PASS logic, with per-identity results — aggregate-only stats score 0 here, per Vol IV Bk 05</w:t>
            </w:r>
          </w:p>
        </w:tc>
      </w:tr>
    </w:tbl>
    <w:bookmarkEnd w:id="53"/>
    <w:bookmarkEnd w:id="54"/>
    <w:bookmarkStart w:id="55" w:name="Xba357847d938d1a1f644cde9f9f7e6f048b4838"/>
    <w:p>
      <w:pPr>
        <w:pStyle w:val="Heading1"/>
      </w:pPr>
      <w:r>
        <w:t xml:space="preserve">Scoring the Track A Capstone — the Eight-Slot Walk</w:t>
      </w:r>
    </w:p>
    <w:p>
      <w:pPr>
        <w:pStyle w:val="FirstParagraph"/>
      </w:pPr>
      <w:r>
        <w:t xml:space="preserve">The compliance-track capstone (Vol V Book 01) is one document covering all eight</w:t>
      </w:r>
      <w:r>
        <w:t xml:space="preserve"> </w:t>
      </w:r>
      <w:r>
        <w:t xml:space="preserve">slots, backed by a real</w:t>
      </w:r>
      <w:r>
        <w:t xml:space="preserve"> </w:t>
      </w:r>
      <w:r>
        <w:rPr>
          <w:rStyle w:val="VerbatimChar"/>
        </w:rPr>
        <w:t xml:space="preserve">&lt;engine&gt; oscal ksi-ar</w:t>
      </w:r>
      <w:r>
        <w:t xml:space="preserve"> </w:t>
      </w:r>
      <w:r>
        <w:t xml:space="preserve">run. Score each slot on the ladder,</w:t>
      </w:r>
      <w:r>
        <w:t xml:space="preserve"> </w:t>
      </w:r>
      <w:r>
        <w:t xml:space="preserve">apply the four common checks once, and apply the pass bar: every slot ≥ 2, at</w:t>
      </w:r>
      <w:r>
        <w:t xml:space="preserve"> </w:t>
      </w:r>
      <w:r>
        <w:t xml:space="preserve">least three at level 3, 4/4 common checks.</w:t>
      </w:r>
    </w:p>
    <w:bookmarkEnd w:id="55"/>
    <w:bookmarkStart w:id="56" w:name="X1008bb2513ca5396af1bfae5343e6703dcc4f7f"/>
    <w:p>
      <w:pPr>
        <w:pStyle w:val="Heading1"/>
      </w:pPr>
      <w:r>
        <w:t xml:space="preserve">Scoring the Track B Capstone — One Module, Evidence-Complete</w:t>
      </w:r>
    </w:p>
    <w:p>
      <w:pPr>
        <w:pStyle w:val="FirstParagraph"/>
      </w:pPr>
      <w:r>
        <w:t xml:space="preserve">The implementation-track capstone (Vol V Book 02) is one module built or</w:t>
      </w:r>
      <w:r>
        <w:t xml:space="preserve"> </w:t>
      </w:r>
      <w:r>
        <w:t xml:space="preserve">lab-simulated end-to-end, with its artifact bound where the slot mapping reads</w:t>
      </w:r>
      <w:r>
        <w:t xml:space="preserve"> </w:t>
      </w:r>
      <w:r>
        <w:t xml:space="preserve">it. It is scored on a narrower bar because it is depth-first, not breadth-first:</w:t>
      </w:r>
    </w:p>
    <w:p>
      <w:pPr>
        <w:pStyle w:val="TableCaption"/>
      </w:pPr>
      <w:r>
        <w:t xml:space="preserve">Track B capstone — the depth-first pass criteria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rack B capstone — the depth-first pass criteria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build works</w:t>
            </w:r>
          </w:p>
        </w:tc>
        <w:tc>
          <w:tcPr/>
          <w:p>
            <w:pPr>
              <w:pStyle w:val="Compact"/>
            </w:pPr>
            <w:r>
              <w:t xml:space="preserve">The module’s mechanism is demonstrably functioning (config, run output, or fixture)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evidence is bound</w:t>
            </w:r>
          </w:p>
        </w:tc>
        <w:tc>
          <w:tcPr/>
          <w:p>
            <w:pPr>
              <w:pStyle w:val="Compact"/>
            </w:pPr>
            <w:r>
              <w:t xml:space="preserve">The artifact sits where the slot mapping references it — not described, placed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verdict is fed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&lt;engine&gt; oscal ksi-ar</w:t>
            </w:r>
            <w:r>
              <w:t xml:space="preserve"> </w:t>
            </w:r>
            <w:r>
              <w:t xml:space="preserve">shows the module’s slot verdict changing because of</w:t>
            </w:r>
            <w:r>
              <w:t xml:space="preserve"> </w:t>
            </w:r>
            <w:r>
              <w:rPr>
                <w:i/>
                <w:iCs/>
              </w:rPr>
              <w:t xml:space="preserve">your</w:t>
            </w:r>
            <w:r>
              <w:t xml:space="preserve"> </w:t>
            </w:r>
            <w:r>
              <w:t xml:space="preserve">artifact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trace is stated</w:t>
            </w:r>
          </w:p>
        </w:tc>
        <w:tc>
          <w:tcPr/>
          <w:p>
            <w:pPr>
              <w:pStyle w:val="Compact"/>
            </w:pPr>
            <w:r>
              <w:t xml:space="preserve">You can name the control the build closes and the KSI rule that reads the evidence</w:t>
            </w:r>
          </w:p>
        </w:tc>
      </w:tr>
    </w:tbl>
    <w:bookmarkEnd w:id="56"/>
    <w:bookmarkStart w:id="57" w:name="Xf755847a88beb41095a552a64e2f981fd352def"/>
    <w:p>
      <w:pPr>
        <w:pStyle w:val="Heading1"/>
      </w:pPr>
      <w:r>
        <w:t xml:space="preserve">The KSI Closure Necessity Matrix — the Certification Exam</w:t>
      </w:r>
    </w:p>
    <w:p>
      <w:pPr>
        <w:pStyle w:val="FirstParagraph"/>
      </w:pPr>
      <w:r>
        <w:t xml:space="preserve">The authoritative artifact of the Academy, and the exam. One row per active KSI</w:t>
      </w:r>
      <w:r>
        <w:t xml:space="preserve"> </w:t>
      </w:r>
      <w:r>
        <w:t xml:space="preserve">rule family: the family, its closing technology (function, not product), whether</w:t>
      </w:r>
      <w:r>
        <w:t xml:space="preserve"> </w:t>
      </w:r>
      <w:r>
        <w:t xml:space="preserve">conformance tooling alone can attest it, the evidence slot it binds, and the</w:t>
      </w:r>
      <w:r>
        <w:t xml:space="preserve"> </w:t>
      </w:r>
      <w:r>
        <w:t xml:space="preserve">series volume/book that produces the evidence. The bottom line is pre-computed</w:t>
      </w:r>
      <w:r>
        <w:t xml:space="preserve"> </w:t>
      </w:r>
      <w:r>
        <w:t xml:space="preserve">and reconciles with Vol 0 Book 00 and Vol IV Book 06 at the totals and the</w:t>
      </w:r>
      <w:r>
        <w:t xml:space="preserve"> </w:t>
      </w:r>
      <w:r>
        <w:t xml:space="preserve">tool-attestable split:</w:t>
      </w:r>
      <w:r>
        <w:t xml:space="preserve"> </w:t>
      </w:r>
      <w:r>
        <w:rPr>
          <w:b/>
          <w:bCs/>
        </w:rPr>
        <w:t xml:space="preserve">10 attestable by tooling alone, 19 architecture-bound,</w:t>
      </w:r>
      <w:r>
        <w:rPr>
          <w:b/>
          <w:bCs/>
        </w:rPr>
        <w:t xml:space="preserve"> </w:t>
      </w:r>
      <w:r>
        <w:rPr>
          <w:b/>
          <w:bCs/>
        </w:rPr>
        <w:t xml:space="preserve">29 total.</w:t>
      </w:r>
      <w:r>
        <w:t xml:space="preserve"> </w:t>
      </w:r>
      <w:r>
        <w:t xml:space="preserve">This is the</w:t>
      </w:r>
      <w:r>
        <w:t xml:space="preserve"> </w:t>
      </w:r>
      <w:r>
        <w:rPr>
          <w:i/>
          <w:iCs/>
        </w:rPr>
        <w:t xml:space="preserve">theme-axis</w:t>
      </w:r>
      <w:r>
        <w:t xml:space="preserve"> </w:t>
      </w:r>
      <w:r>
        <w:t xml:space="preserve">view: the KSI-001..010 row is the ScuBA</w:t>
      </w:r>
      <w:r>
        <w:t xml:space="preserve"> </w:t>
      </w:r>
      <w:r>
        <w:t xml:space="preserve">baseline layer, and the theme rows beneath it are the architecture-bound</w:t>
      </w:r>
      <w:r>
        <w:t xml:space="preserve"> </w:t>
      </w:r>
      <w:r>
        <w:t xml:space="preserve">remainder of each theme (the 19). Vol 0 Book 00 holds the authoritative</w:t>
      </w:r>
      <w:r>
        <w:t xml:space="preserve"> </w:t>
      </w:r>
      <w:r>
        <w:rPr>
          <w:i/>
          <w:iCs/>
        </w:rPr>
        <w:t xml:space="preserve">per-rule-number</w:t>
      </w:r>
      <w:r>
        <w:t xml:space="preserve"> </w:t>
      </w:r>
      <w:r>
        <w:t xml:space="preserve">decomposition (KSI-011..029 grouped by rule range), which is</w:t>
      </w:r>
      <w:r>
        <w:t xml:space="preserve"> </w:t>
      </w:r>
      <w:r>
        <w:t xml:space="preserve">what an assessor reconciles against rule-by-rule.</w:t>
      </w:r>
    </w:p>
    <w:p>
      <w:pPr>
        <w:pStyle w:val="TableCaption"/>
      </w:pPr>
      <w:r>
        <w:t xml:space="preserve">KSI Closure Necessity Matrix — 10 tool-attestable, 19 architecture-bound, 29 total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KSI Closure Necessity Matrix — 10 tool-attestable, 19 architecture-bound, 29 total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KSI family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  <w:tc>
          <w:tcPr/>
          <w:p>
            <w:pPr>
              <w:pStyle w:val="Compact"/>
            </w:pPr>
            <w:r>
              <w:t xml:space="preserve">Closing mechanism (function)</w:t>
            </w:r>
          </w:p>
        </w:tc>
        <w:tc>
          <w:tcPr/>
          <w:p>
            <w:pPr>
              <w:pStyle w:val="Compact"/>
            </w:pPr>
            <w:r>
              <w:t xml:space="preserve">Tool-attestable alone?</w:t>
            </w:r>
          </w:p>
        </w:tc>
        <w:tc>
          <w:tcPr/>
          <w:p>
            <w:pPr>
              <w:pStyle w:val="Compact"/>
            </w:pPr>
            <w:r>
              <w:t xml:space="preserve">Slot</w:t>
            </w:r>
          </w:p>
        </w:tc>
        <w:tc>
          <w:tcPr/>
          <w:p>
            <w:pPr>
              <w:pStyle w:val="Compact"/>
            </w:pPr>
            <w:r>
              <w:t xml:space="preserve">Series home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KSI-001..010 (ScuBA)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M365/Entra baseline posture read by the ScuBA adapter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Vol 0 (adapter)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Cryptographic identity + lifecycle + least privilege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Vol I Bk 03/04/05 · Vol II Bk 01 · Vol III Bk 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KSI-PIY</w:t>
            </w:r>
          </w:p>
        </w:tc>
        <w:tc>
          <w:tcPr/>
          <w:p>
            <w:pPr>
              <w:pStyle w:val="Compact"/>
            </w:pPr>
            <w: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Authoritative IPAM/DDI + device identity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2, 5</w:t>
            </w:r>
          </w:p>
        </w:tc>
        <w:tc>
          <w:tcPr/>
          <w:p>
            <w:pPr>
              <w:pStyle w:val="Compact"/>
            </w:pPr>
            <w:r>
              <w:t xml:space="preserve">Vol I Bk 01/02 · Vol III Bk 01/03/04 · Vol IV Bk 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KSI-CNA</w:t>
            </w:r>
          </w:p>
        </w:tc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Encrypted application-aware overlay + governed edge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Vol I Bk 05/06/07 · Vol II Bk 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telemetry</w:t>
            </w:r>
          </w:p>
        </w:tc>
        <w:tc>
          <w:tcPr/>
          <w:p>
            <w:pPr>
              <w:pStyle w:val="Compact"/>
            </w:pPr>
            <w:r>
              <w:t xml:space="preserve">Correlated detection + audit retention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Vol III Bk 02/05/06/07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KSI-CMT</w:t>
            </w:r>
          </w:p>
        </w:tc>
        <w:tc>
          <w:tcPr/>
          <w:p>
            <w:pPr>
              <w:pStyle w:val="Compact"/>
            </w:pPr>
            <w:r>
              <w:t xml:space="preserve">config/change</w:t>
            </w:r>
          </w:p>
        </w:tc>
        <w:tc>
          <w:tcPr/>
          <w:p>
            <w:pPr>
              <w:pStyle w:val="Compact"/>
            </w:pPr>
            <w:r>
              <w:t xml:space="preserve">Secure config + SBOM/VDR/VER provenance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Vol III Bk 04/06 · Vol IV Bk 02/03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KSI-RPL</w:t>
            </w:r>
          </w:p>
        </w:tc>
        <w:tc>
          <w:tcPr/>
          <w:p>
            <w:pPr>
              <w:pStyle w:val="Compact"/>
            </w:pPr>
            <w:r>
              <w:t xml:space="preserve">resilience</w:t>
            </w:r>
          </w:p>
        </w:tc>
        <w:tc>
          <w:tcPr/>
          <w:p>
            <w:pPr>
              <w:pStyle w:val="Compact"/>
            </w:pPr>
            <w:r>
              <w:t xml:space="preserve">Tested contingency architecture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Vol IV Bk 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KSI-CED</w:t>
            </w:r>
          </w:p>
        </w:tc>
        <w:tc>
          <w:tcPr/>
          <w:p>
            <w:pPr>
              <w:pStyle w:val="Compact"/>
            </w:pPr>
            <w:r>
              <w:t xml:space="preserve">training</w:t>
            </w:r>
          </w:p>
        </w:tc>
        <w:tc>
          <w:tcPr/>
          <w:p>
            <w:pPr>
              <w:pStyle w:val="Compact"/>
            </w:pPr>
            <w:r>
              <w:t xml:space="preserve">Machine-readable training-effectiveness record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Vol IV Bk 05 (Vol IV Bk 06 cadence)</w:t>
            </w:r>
          </w:p>
        </w:tc>
      </w:tr>
    </w:tbl>
    <w:p>
      <w:pPr>
        <w:pStyle w:val="BodyText"/>
      </w:pPr>
      <w:r>
        <w:t xml:space="preserve">The exam is the matrix, reconstructed by the candidate from the corpus: given a</w:t>
      </w:r>
      <w:r>
        <w:t xml:space="preserve"> </w:t>
      </w:r>
      <w:r>
        <w:t xml:space="preserve">blank KSI list, place each rule in its slot, name the closing mechanism and why</w:t>
      </w:r>
      <w:r>
        <w:t xml:space="preserve"> </w:t>
      </w:r>
      <w:r>
        <w:t xml:space="preserve">no alternate closes it, and mark tool-attestable vs. architecture-bound</w:t>
      </w:r>
      <w:r>
        <w:t xml:space="preserve"> </w:t>
      </w:r>
      <w:r>
        <w:t xml:space="preserve">correctly. A candidate who reproduces the 10/19 split with correct reasoning has</w:t>
      </w:r>
      <w:r>
        <w:t xml:space="preserve"> </w:t>
      </w:r>
      <w:r>
        <w:t xml:space="preserve">demonstrated the coverage-gap fluency the whole program turns on.</w:t>
      </w:r>
    </w:p>
    <w:bookmarkEnd w:id="57"/>
    <w:bookmarkStart w:id="58" w:name="X67d21e81bd6045065ae769e44682b7c1b0b0455"/>
    <w:p>
      <w:pPr>
        <w:pStyle w:val="Heading1"/>
      </w:pPr>
      <w:r>
        <w:t xml:space="preserve">Certification — Compliance Practitioner and Compliance Assessor</w:t>
      </w:r>
    </w:p>
    <w:p>
      <w:pPr>
        <w:pStyle w:val="FirstParagraph"/>
      </w:pPr>
      <w:r>
        <w:t xml:space="preserve">The Academy confers two credentials. Both are competency credentials, not</w:t>
      </w:r>
      <w:r>
        <w:t xml:space="preserve"> </w:t>
      </w:r>
      <w:r>
        <w:t xml:space="preserve">attendance certificates; both are evidenced by artifacts, mirroring the series’</w:t>
      </w:r>
      <w:r>
        <w:t xml:space="preserve"> </w:t>
      </w:r>
      <w:r>
        <w:t xml:space="preserve">own doctrine that competency is a control (AT-3).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Compliance Practitioner</w:t>
      </w:r>
      <w:r>
        <w:t xml:space="preserve"> </w:t>
      </w:r>
      <w:r>
        <w:t xml:space="preserve">(implementation). Requires: the Track B capstone at pass</w:t>
      </w:r>
      <w:r>
        <w:t xml:space="preserve"> </w:t>
      </w:r>
      <w:r>
        <w:t xml:space="preserve">(one module, evidence-complete), plus the KSI Closure Necessity Matrix</w:t>
      </w:r>
      <w:r>
        <w:t xml:space="preserve"> </w:t>
      </w:r>
      <w:r>
        <w:t xml:space="preserve">reconstructed correctly for the slot(s) the chosen module feeds. The</w:t>
      </w:r>
      <w:r>
        <w:t xml:space="preserve"> </w:t>
      </w:r>
      <w:r>
        <w:t xml:space="preserve">Practitioner has proven they can build a control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land the evidence the</w:t>
      </w:r>
      <w:r>
        <w:t xml:space="preserve"> </w:t>
      </w:r>
      <w:r>
        <w:t xml:space="preserve">KSI reads.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Compliance Assessor</w:t>
      </w:r>
      <w:r>
        <w:t xml:space="preserve"> </w:t>
      </w:r>
      <w:r>
        <w:t xml:space="preserve">(compliance). Requires: the Track A capstone at pass (all</w:t>
      </w:r>
      <w:r>
        <w:t xml:space="preserve"> </w:t>
      </w:r>
      <w:r>
        <w:t xml:space="preserve">eight slots, ≥ three assessor-ready), plus the full KSI Closure Necessity</w:t>
      </w:r>
      <w:r>
        <w:t xml:space="preserve"> </w:t>
      </w:r>
      <w:r>
        <w:t xml:space="preserve">Matrix reconstructed correctly, with the 10/19 split and per-rule necessity</w:t>
      </w:r>
      <w:r>
        <w:t xml:space="preserve"> </w:t>
      </w:r>
      <w:r>
        <w:t xml:space="preserve">reasoning. The Assessor has proven they can trace and adjudicate the whole</w:t>
      </w:r>
      <w:r>
        <w:t xml:space="preserve"> </w:t>
      </w:r>
      <w:r>
        <w:t xml:space="preserve">evidence model.</w:t>
      </w:r>
    </w:p>
    <w:p>
      <w:pPr>
        <w:pStyle w:val="FirstParagraph"/>
      </w:pPr>
      <w:r>
        <w:t xml:space="preserve">Both credentials feed slot 8: the completion record — per-identity, dated,</w:t>
      </w:r>
      <w:r>
        <w:t xml:space="preserve"> </w:t>
      </w:r>
      <w:r>
        <w:t xml:space="preserve">machine-readable — is the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 </w:t>
      </w:r>
      <w:r>
        <w:t xml:space="preserve">that closes AT-2/AT-3</w:t>
      </w:r>
      <w:r>
        <w:t xml:space="preserve"> </w:t>
      </w:r>
      <w:r>
        <w:t xml:space="preserve">and satisfies KSI-022. The Academy’s own graduates are the series’ training</w:t>
      </w:r>
      <w:r>
        <w:t xml:space="preserve"> </w:t>
      </w:r>
      <w:r>
        <w:t xml:space="preserve">evidence.</w:t>
      </w:r>
    </w:p>
    <w:bookmarkEnd w:id="58"/>
    <w:bookmarkStart w:id="59" w:name="scoring-sheet"/>
    <w:p>
      <w:pPr>
        <w:pStyle w:val="Heading1"/>
      </w:pPr>
      <w:r>
        <w:t xml:space="preserve">Scoring Sheet</w:t>
      </w:r>
    </w:p>
    <w:p>
      <w:pPr>
        <w:pStyle w:val="TableCaption"/>
      </w:pPr>
      <w:r>
        <w:t xml:space="preserve">Track A capstone scoring sheet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rack A capstone scoring sheet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Slot</w:t>
            </w:r>
          </w:p>
        </w:tc>
        <w:tc>
          <w:tcPr/>
          <w:p>
            <w:pPr>
              <w:pStyle w:val="Compact"/>
            </w:pPr>
            <w:r>
              <w:t xml:space="preserve">Level (0–3)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— identity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 — addressing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 — network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 — telemetry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 — endpoint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 — security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 — continuity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 — training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Common checks passed</w:t>
            </w:r>
          </w:p>
        </w:tc>
        <w:tc>
          <w:tcPr/>
          <w:p>
            <w:pPr>
              <w:pStyle w:val="Compact"/>
            </w:pPr>
            <w:r>
              <w:t xml:space="preserve">/4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Result</w:t>
            </w:r>
          </w:p>
        </w:tc>
        <w:tc>
          <w:tcPr/>
          <w:p>
            <w:pPr>
              <w:pStyle w:val="Compact"/>
            </w:pPr>
            <w:r>
              <w:t xml:space="preserve">Pass / Not yet</w:t>
            </w:r>
          </w:p>
        </w:tc>
        <w:tc>
          <w:tcPr/>
          <w:p>
            <w:pPr>
              <w:pStyle w:val="Compact"/>
            </w:pPr>
            <w:r>
              <w:t xml:space="preserve">Pass = all ≥ 2, ≥ 3 at level 3, 4/4 common checks</w:t>
            </w:r>
          </w:p>
        </w:tc>
      </w:tr>
    </w:tbl>
    <w:bookmarkEnd w:id="59"/>
    <w:bookmarkStart w:id="62" w:name="series-context-vol-v-book-03"/>
    <w:p>
      <w:pPr>
        <w:pStyle w:val="Heading1"/>
      </w:pPr>
      <w:r>
        <w:t xml:space="preserve">Series Context — Vol V Book 03</w:t>
      </w:r>
    </w:p>
    <w:p>
      <w:pPr>
        <w:pStyle w:val="FirstParagraph"/>
      </w:pPr>
      <w:r>
        <w:t xml:space="preserve">This book is the Academy’s grading instrument. It scores the capstones that</w:t>
      </w:r>
      <w:r>
        <w:t xml:space="preserve"> </w:t>
      </w:r>
      <w:r>
        <w:t xml:space="preserve">Vol V Book 01 (compliance) and Vol V Book 02 (implementation) set, using rubrics</w:t>
      </w:r>
      <w:r>
        <w:t xml:space="preserve"> </w:t>
      </w:r>
      <w:r>
        <w:t xml:space="preserve">built from the same eight evidence slots and the same volume-coordinate book</w:t>
      </w:r>
      <w:r>
        <w:t xml:space="preserve"> </w:t>
      </w:r>
      <w:r>
        <w:t xml:space="preserve">references. Its KSI Closure Necessity Matrix is the citable form of Theme E’s</w:t>
      </w:r>
      <w:r>
        <w:t xml:space="preserve"> </w:t>
      </w:r>
      <w:r>
        <w:t xml:space="preserve">10-of-29 coverage gap and is cross-referenced by Vol IV Book 06 (Authorization</w:t>
      </w:r>
      <w:r>
        <w:t xml:space="preserve"> </w:t>
      </w:r>
      <w:r>
        <w:t xml:space="preserve">Package &amp; ConMon) as the exam-grade rendering of the KSI scorecard. The</w:t>
      </w:r>
      <w:r>
        <w:t xml:space="preserve"> </w:t>
      </w:r>
      <w:r>
        <w:t xml:space="preserve">credentials it confers produce the per-identity training record that Vol IV</w:t>
      </w:r>
      <w:r>
        <w:t xml:space="preserve"> </w:t>
      </w:r>
      <w:r>
        <w:t xml:space="preserve">Book 06 freezes into the OSCAL bundle — closing, on the evidence of the</w:t>
      </w:r>
      <w:r>
        <w:t xml:space="preserve"> </w:t>
      </w:r>
      <w:r>
        <w:t xml:space="preserve">Academy’s own graduates, the training control the authorization package depends</w:t>
      </w:r>
      <w:r>
        <w:t xml:space="preserve"> </w:t>
      </w:r>
      <w:r>
        <w:t xml:space="preserve">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Federal Compliance — Vol V Book 03 of the series. Volume V is</w:t>
      </w:r>
      <w:r>
        <w:rPr>
          <w:i/>
          <w:iCs/>
        </w:rPr>
        <w:t xml:space="preserve"> </w:t>
      </w:r>
      <w:r>
        <w:rPr>
          <w:i/>
          <w:iCs/>
        </w:rPr>
        <w:t xml:space="preserve">the enablement layer; this book is its assessment and certification instrument,</w:t>
      </w:r>
      <w:r>
        <w:rPr>
          <w:i/>
          <w:iCs/>
        </w:rPr>
        <w:t xml:space="preserve"> </w:t>
      </w:r>
      <w:r>
        <w:rPr>
          <w:i/>
          <w:iCs/>
        </w:rPr>
        <w:t xml:space="preserve">grading the capstones of Vol V Books 01–02 and conferring the Compliance Practitioner</w:t>
      </w:r>
      <w:r>
        <w:rPr>
          <w:i/>
          <w:iCs/>
        </w:rPr>
        <w:t xml:space="preserve"> </w:t>
      </w:r>
      <w:r>
        <w:rPr>
          <w:i/>
          <w:iCs/>
        </w:rPr>
        <w:t xml:space="preserve">and Compliance Assessor credentials. The KSI Closure Necessity Matrix reconciles with</w:t>
      </w:r>
      <w:r>
        <w:rPr>
          <w:i/>
          <w:iCs/>
        </w:rPr>
        <w:t xml:space="preserve"> </w:t>
      </w:r>
      <w:r>
        <w:rPr>
          <w:i/>
          <w:iCs/>
        </w:rPr>
        <w:t xml:space="preserve">Vol 0 Book 00 and Vol IV Book 06 at 10 tool-attestable / 19 architecture-bound /</w:t>
      </w:r>
      <w:r>
        <w:rPr>
          <w:i/>
          <w:iCs/>
        </w:rPr>
        <w:t xml:space="preserve"> </w:t>
      </w:r>
      <w:r>
        <w:rPr>
          <w:i/>
          <w:iCs/>
        </w:rPr>
        <w:t xml:space="preserve">29 total. Control-closure and KSI claims are self-assessed against the series’</w:t>
      </w:r>
      <w:r>
        <w:rPr>
          <w:i/>
          <w:iCs/>
        </w:rPr>
        <w:t xml:space="preserve"> </w:t>
      </w:r>
      <w:r>
        <w:rPr>
          <w:i/>
          <w:iCs/>
        </w:rPr>
        <w:t xml:space="preserve">internal KSI decomposition (modeled on the FedRAMP 20x CR26 KSI schema), pending</w:t>
      </w:r>
      <w:r>
        <w:rPr>
          <w:i/>
          <w:iCs/>
        </w:rPr>
        <w:t xml:space="preserve"> </w:t>
      </w:r>
      <w:r>
        <w:rPr>
          <w:i/>
          <w:iCs/>
        </w:rPr>
        <w:t xml:space="preserve">independent security control assessment (SCA) and formal FedRAMP PMO / AO</w:t>
      </w:r>
      <w:r>
        <w:rPr>
          <w:i/>
          <w:iCs/>
        </w:rPr>
        <w:t xml:space="preserve"> </w:t>
      </w:r>
      <w:r>
        <w:rPr>
          <w:i/>
          <w:iCs/>
        </w:rPr>
        <w:t xml:space="preserve">review.</w:t>
      </w:r>
    </w:p>
    <w:bookmarkStart w:id="60" w:name="draft-proposal-subject-to-review-4"/>
    <w:p>
      <w:pPr>
        <w:pStyle w:val="Heading2"/>
      </w:pPr>
      <w:r>
        <w:t xml:space="preserve">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2026-07-18 06:20 ET</w:t>
      </w:r>
    </w:p>
    <w:bookmarkEnd w:id="60"/>
    <w:p>
      <w:pPr>
        <w:pStyle w:val="BodyText"/>
      </w:pPr>
      <w:r>
        <w:rPr>
          <w:b/>
          <w:bCs/>
        </w:rPr>
        <w:t xml:space="preserve">Operational appendix — vendor-named by necessity.</w:t>
      </w:r>
      <w:r>
        <w:t xml:space="preserve"> </w:t>
      </w:r>
      <w:r>
        <w:t xml:space="preserve">The rest of Volume V is</w:t>
      </w:r>
      <w:r>
        <w:t xml:space="preserve"> </w:t>
      </w:r>
      <w:r>
        <w:t xml:space="preserve">function-first. This book is the series’</w:t>
      </w:r>
      <w:r>
        <w:t xml:space="preserve"> </w:t>
      </w:r>
      <w:r>
        <w:rPr>
          <w:b/>
          <w:bCs/>
        </w:rPr>
        <w:t xml:space="preserve">realization layer</w:t>
      </w:r>
      <w:r>
        <w:t xml:space="preserve"> </w:t>
      </w:r>
      <w:r>
        <w:t xml:space="preserve">(Vol 0 Book 00,</w:t>
      </w:r>
      <w:r>
        <w:t xml:space="preserve"> </w:t>
      </w:r>
      <w:r>
        <w:t xml:space="preserve">Theme F:</w:t>
      </w:r>
      <w:r>
        <w:t xml:space="preserve"> </w:t>
      </w:r>
      <w:r>
        <w:rPr>
          <w:i/>
          <w:iCs/>
        </w:rPr>
        <w:t xml:space="preserve">Mechanism, Not Product</w:t>
      </w:r>
      <w:r>
        <w:t xml:space="preserve">): one mechanism is realized by N products, each</w:t>
      </w:r>
      <w:r>
        <w:t xml:space="preserve"> </w:t>
      </w:r>
      <w:r>
        <w:t xml:space="preserve">carrying a federal accreditation. A training catalog cannot function without</w:t>
      </w:r>
      <w:r>
        <w:t xml:space="preserve"> </w:t>
      </w:r>
      <w:r>
        <w:t xml:space="preserve">naming the vendors whose products the books deploy, so this book names them —</w:t>
      </w:r>
      <w:r>
        <w:t xml:space="preserve"> </w:t>
      </w:r>
      <w:r>
        <w:t xml:space="preserve">courses, portals, and eval licenses. It assigns no organizational owner and</w:t>
      </w:r>
      <w:r>
        <w:t xml:space="preserve"> </w:t>
      </w:r>
      <w:r>
        <w:t xml:space="preserve">recommends no procurement; it maps existing external training to the volume it</w:t>
      </w:r>
      <w:r>
        <w:t xml:space="preserve"> </w:t>
      </w:r>
      <w:r>
        <w:t xml:space="preserve">supports. Verify every vendor’s FedRAMP / accreditation status on the</w:t>
      </w:r>
      <w:r>
        <w:t xml:space="preserve"> </w:t>
      </w:r>
      <w:hyperlink r:id="rId61">
        <w:r>
          <w:rPr>
            <w:rStyle w:val="Hyperlink"/>
          </w:rPr>
          <w:t xml:space="preserve">FedRAMP Marketplace</w:t>
        </w:r>
      </w:hyperlink>
      <w:r>
        <w:t xml:space="preserve"> </w:t>
      </w:r>
      <w:r>
        <w:t xml:space="preserve">at procurement time.</w:t>
      </w:r>
    </w:p>
    <w:bookmarkEnd w:id="62"/>
    <w:bookmarkStart w:id="63" w:name="what-this-document-addresses-3"/>
    <w:p>
      <w:pPr>
        <w:pStyle w:val="Heading1"/>
      </w:pPr>
      <w:r>
        <w:t xml:space="preserve">What This Document Addresses</w:t>
      </w:r>
    </w:p>
    <w:p>
      <w:pPr>
        <w:pStyle w:val="FirstParagraph"/>
      </w:pPr>
      <w:r>
        <w:t xml:space="preserve">The four preceding Volume V books teach the corpus and grade the learner; none of</w:t>
      </w:r>
      <w:r>
        <w:t xml:space="preserve"> </w:t>
      </w:r>
      <w:r>
        <w:t xml:space="preserve">them teaches a product. This book supplies the two things a learner needs to</w:t>
      </w:r>
      <w:r>
        <w:t xml:space="preserve"> </w:t>
      </w:r>
      <w:r>
        <w:t xml:space="preserve">actually acquire the skills:</w:t>
      </w:r>
      <w:r>
        <w:t xml:space="preserve"> </w:t>
      </w:r>
      <w:r>
        <w:rPr>
          <w:b/>
          <w:bCs/>
        </w:rPr>
        <w:t xml:space="preserve">external vendor training</w:t>
      </w:r>
      <w:r>
        <w:t xml:space="preserve"> </w:t>
      </w:r>
      <w:r>
        <w:t xml:space="preserve">mapped to the volume it</w:t>
      </w:r>
      <w:r>
        <w:t xml:space="preserve"> </w:t>
      </w:r>
      <w:r>
        <w:t xml:space="preserve">supports, and</w:t>
      </w:r>
      <w:r>
        <w:t xml:space="preserve"> </w:t>
      </w:r>
      <w:r>
        <w:rPr>
          <w:b/>
          <w:bCs/>
        </w:rPr>
        <w:t xml:space="preserve">lab environments</w:t>
      </w:r>
      <w:r>
        <w:t xml:space="preserve"> </w:t>
      </w:r>
      <w:r>
        <w:t xml:space="preserve">— scripted, disposable setups where the</w:t>
      </w:r>
      <w:r>
        <w:t xml:space="preserve"> </w:t>
      </w:r>
      <w:r>
        <w:t xml:space="preserve">implementation-track builds can be exercised without a production footprint.</w:t>
      </w:r>
    </w:p>
    <w:p>
      <w:pPr>
        <w:pStyle w:val="BodyText"/>
      </w:pPr>
      <w:r>
        <w:t xml:space="preserve">It is a living catalog. As research continues it expands; rows carry the volume</w:t>
      </w:r>
      <w:r>
        <w:t xml:space="preserve"> </w:t>
      </w:r>
      <w:r>
        <w:t xml:space="preserve">they support so the other books can link here stably, and external URLs are</w:t>
      </w:r>
      <w:r>
        <w:t xml:space="preserve"> </w:t>
      </w:r>
      <w:r>
        <w:t xml:space="preserve">re-verified by the repo’s link-check CI so link rot surfaces automatically.</w:t>
      </w:r>
    </w:p>
    <w:bookmarkEnd w:id="63"/>
    <w:bookmarkStart w:id="64" w:name="how-to-use-this-catalog"/>
    <w:p>
      <w:pPr>
        <w:pStyle w:val="Heading1"/>
      </w:pPr>
      <w:r>
        <w:t xml:space="preserve">How to Use This Catalog</w:t>
      </w:r>
    </w:p>
    <w:p>
      <w:pPr>
        <w:pStyle w:val="FirstParagraph"/>
      </w:pPr>
      <w:r>
        <w:t xml:space="preserve">Each implementation module (Vol V Book 02) and each compliance module (Vol V</w:t>
      </w:r>
      <w:r>
        <w:t xml:space="preserve"> </w:t>
      </w:r>
      <w:r>
        <w:t xml:space="preserve">Book 01) points at a section here. Certifications are listed where a role-based</w:t>
      </w:r>
      <w:r>
        <w:t xml:space="preserve"> </w:t>
      </w:r>
      <w:r>
        <w:t xml:space="preserve">cert is the natural packaging; free learning-path options are noted where they</w:t>
      </w:r>
      <w:r>
        <w:t xml:space="preserve"> </w:t>
      </w:r>
      <w:r>
        <w:t xml:space="preserve">exist.</w:t>
      </w:r>
      <w:r>
        <w:t xml:space="preserve"> </w:t>
      </w:r>
      <w:r>
        <w:t xml:space="preserve">“Volumes”</w:t>
      </w:r>
      <w:r>
        <w:t xml:space="preserve"> </w:t>
      </w:r>
      <w:r>
        <w:t xml:space="preserve">columns refer to the volume/book a course supports.</w:t>
      </w:r>
    </w:p>
    <w:bookmarkEnd w:id="64"/>
    <w:bookmarkStart w:id="73" w:name="microsoft"/>
    <w:p>
      <w:pPr>
        <w:pStyle w:val="Heading1"/>
      </w:pPr>
      <w:r>
        <w:t xml:space="preserve">Microsoft Role-Based Training</w:t>
      </w:r>
    </w:p>
    <w:p>
      <w:pPr>
        <w:pStyle w:val="FirstParagraph"/>
      </w:pPr>
      <w:r>
        <w:t xml:space="preserve">The Compliance reference stack is Microsoft-heavy (Entra, Defender, Sentinel, Purview,</w:t>
      </w:r>
      <w:r>
        <w:t xml:space="preserve"> </w:t>
      </w:r>
      <w:r>
        <w:t xml:space="preserve">SQL Server, Azure networking), so Microsoft Learn role paths cover the largest</w:t>
      </w:r>
      <w:r>
        <w:t xml:space="preserve"> </w:t>
      </w:r>
      <w:r>
        <w:t xml:space="preserve">share of Track B. Microsoft Learn content is free; certification exams are paid.</w:t>
      </w:r>
    </w:p>
    <w:p>
      <w:pPr>
        <w:pStyle w:val="TableCaption"/>
      </w:pPr>
      <w:r>
        <w:t xml:space="preserve">Microsoft role-based training mapped to the series volumes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Microsoft role-based training mapped to the series volumes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Certification / path</w:t>
            </w:r>
          </w:p>
        </w:tc>
        <w:tc>
          <w:tcPr/>
          <w:p>
            <w:pPr>
              <w:pStyle w:val="Compact"/>
            </w:pPr>
            <w:r>
              <w:t xml:space="preserve">Exam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Why it maps</w:t>
            </w:r>
          </w:p>
        </w:tc>
      </w:tr>
      <w:tr>
        <w:tc>
          <w:tcPr/>
          <w:p>
            <w:pPr>
              <w:pStyle w:val="Compact"/>
            </w:pPr>
            <w:hyperlink r:id="rId65">
              <w:r>
                <w:rPr>
                  <w:rStyle w:val="Hyperlink"/>
                </w:rPr>
                <w:t xml:space="preserve">Azure Network Engineer Associate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AZ-700</w:t>
            </w:r>
          </w:p>
        </w:tc>
        <w:tc>
          <w:tcPr/>
          <w:p>
            <w:pPr>
              <w:pStyle w:val="Compact"/>
            </w:pPr>
            <w:r>
              <w:t xml:space="preserve">Vol I Bk 01, 05</w:t>
            </w:r>
          </w:p>
        </w:tc>
        <w:tc>
          <w:tcPr/>
          <w:p>
            <w:pPr>
              <w:pStyle w:val="Compact"/>
            </w:pPr>
            <w:r>
              <w:t xml:space="preserve">Landing-zone networking, hybrid connectivity, private access</w:t>
            </w:r>
          </w:p>
        </w:tc>
      </w:tr>
      <w:tr>
        <w:tc>
          <w:tcPr/>
          <w:p>
            <w:pPr>
              <w:pStyle w:val="Compact"/>
            </w:pPr>
            <w:hyperlink r:id="rId66">
              <w:r>
                <w:rPr>
                  <w:rStyle w:val="Hyperlink"/>
                </w:rPr>
                <w:t xml:space="preserve">Identity and Access Administrator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SC-300</w:t>
            </w:r>
          </w:p>
        </w:tc>
        <w:tc>
          <w:tcPr/>
          <w:p>
            <w:pPr>
              <w:pStyle w:val="Compact"/>
            </w:pPr>
            <w:r>
              <w:t xml:space="preserve">Vol I Bk 03/04/05 · Vol III Bk 01</w:t>
            </w:r>
          </w:p>
        </w:tc>
        <w:tc>
          <w:tcPr/>
          <w:p>
            <w:pPr>
              <w:pStyle w:val="Compact"/>
            </w:pPr>
            <w:r>
              <w:t xml:space="preserve">Entra ID, conditional access, PIM, lifecycle — the identity spine</w:t>
            </w:r>
          </w:p>
        </w:tc>
      </w:tr>
      <w:tr>
        <w:tc>
          <w:tcPr/>
          <w:p>
            <w:pPr>
              <w:pStyle w:val="Compact"/>
            </w:pPr>
            <w:hyperlink r:id="rId67">
              <w:r>
                <w:rPr>
                  <w:rStyle w:val="Hyperlink"/>
                </w:rPr>
                <w:t xml:space="preserve">Security Operations Analyst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SC-200</w:t>
            </w:r>
          </w:p>
        </w:tc>
        <w:tc>
          <w:tcPr/>
          <w:p>
            <w:pPr>
              <w:pStyle w:val="Compact"/>
            </w:pPr>
            <w:r>
              <w:t xml:space="preserve">Vol III Bk 02, 06</w:t>
            </w:r>
          </w:p>
        </w:tc>
        <w:tc>
          <w:tcPr/>
          <w:p>
            <w:pPr>
              <w:pStyle w:val="Compact"/>
            </w:pPr>
            <w:r>
              <w:t xml:space="preserve">Sentinel + Defender XDR detection and Defender VM</w:t>
            </w:r>
          </w:p>
        </w:tc>
      </w:tr>
      <w:tr>
        <w:tc>
          <w:tcPr/>
          <w:p>
            <w:pPr>
              <w:pStyle w:val="Compact"/>
            </w:pPr>
            <w:hyperlink r:id="rId68">
              <w:r>
                <w:rPr>
                  <w:rStyle w:val="Hyperlink"/>
                </w:rPr>
                <w:t xml:space="preserve">Information Security Administrator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SC-401</w:t>
            </w:r>
          </w:p>
        </w:tc>
        <w:tc>
          <w:tcPr/>
          <w:p>
            <w:pPr>
              <w:pStyle w:val="Compact"/>
            </w:pPr>
            <w:r>
              <w:t xml:space="preserve">Vol III Bk 05 · Vol IV Bk 04</w:t>
            </w:r>
          </w:p>
        </w:tc>
        <w:tc>
          <w:tcPr/>
          <w:p>
            <w:pPr>
              <w:pStyle w:val="Compact"/>
            </w:pPr>
            <w:r>
              <w:t xml:space="preserve">Purview information protection, DLP, insider risk (successor to SC-400)</w:t>
            </w:r>
          </w:p>
        </w:tc>
      </w:tr>
      <w:tr>
        <w:tc>
          <w:tcPr/>
          <w:p>
            <w:pPr>
              <w:pStyle w:val="Compact"/>
            </w:pPr>
            <w:hyperlink r:id="rId69">
              <w:r>
                <w:rPr>
                  <w:rStyle w:val="Hyperlink"/>
                </w:rPr>
                <w:t xml:space="preserve">Azure Database Administrator Associate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DP-300</w:t>
            </w:r>
          </w:p>
        </w:tc>
        <w:tc>
          <w:tcPr/>
          <w:p>
            <w:pPr>
              <w:pStyle w:val="Compact"/>
            </w:pPr>
            <w:r>
              <w:t xml:space="preserve">Vol II Bk 01–03</w:t>
            </w:r>
          </w:p>
        </w:tc>
        <w:tc>
          <w:tcPr/>
          <w:p>
            <w:pPr>
              <w:pStyle w:val="Compact"/>
            </w:pPr>
            <w:r>
              <w:t xml:space="preserve">SQL Server / Azure SQL administration and authentication modernization</w:t>
            </w:r>
          </w:p>
        </w:tc>
      </w:tr>
      <w:tr>
        <w:tc>
          <w:tcPr/>
          <w:p>
            <w:pPr>
              <w:pStyle w:val="Compact"/>
            </w:pPr>
            <w:hyperlink r:id="rId70">
              <w:r>
                <w:rPr>
                  <w:rStyle w:val="Hyperlink"/>
                </w:rPr>
                <w:t xml:space="preserve">Azure Security Engineer Associate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AZ-500</w:t>
            </w:r>
          </w:p>
        </w:tc>
        <w:tc>
          <w:tcPr/>
          <w:p>
            <w:pPr>
              <w:pStyle w:val="Compact"/>
            </w:pPr>
            <w:r>
              <w:t xml:space="preserve">Vol I Bk 03 · Vol III Bk 05</w:t>
            </w:r>
          </w:p>
        </w:tc>
        <w:tc>
          <w:tcPr/>
          <w:p>
            <w:pPr>
              <w:pStyle w:val="Compact"/>
            </w:pPr>
            <w:r>
              <w:t xml:space="preserve">Key Vault, CMK, workload identity, platform security controls</w:t>
            </w:r>
          </w:p>
        </w:tc>
      </w:tr>
      <w:tr>
        <w:tc>
          <w:tcPr/>
          <w:p>
            <w:pPr>
              <w:pStyle w:val="Compact"/>
            </w:pPr>
            <w:hyperlink r:id="rId71">
              <w:r>
                <w:rPr>
                  <w:rStyle w:val="Hyperlink"/>
                </w:rPr>
                <w:t xml:space="preserve">Cybersecurity Architect Expert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SC-100</w:t>
            </w:r>
          </w:p>
        </w:tc>
        <w:tc>
          <w:tcPr/>
          <w:p>
            <w:pPr>
              <w:pStyle w:val="Compact"/>
            </w:pPr>
            <w:r>
              <w:t xml:space="preserve">Vol 0 Bk 00 · Vol IV Bk 03</w:t>
            </w:r>
          </w:p>
        </w:tc>
        <w:tc>
          <w:tcPr/>
          <w:p>
            <w:pPr>
              <w:pStyle w:val="Compact"/>
            </w:pPr>
            <w:r>
              <w:t xml:space="preserve">Whole-of-estate security architecture — the leadership view</w:t>
            </w:r>
          </w:p>
        </w:tc>
      </w:tr>
      <w:tr>
        <w:tc>
          <w:tcPr/>
          <w:p>
            <w:pPr>
              <w:pStyle w:val="Compact"/>
            </w:pPr>
            <w:hyperlink r:id="rId72">
              <w:r>
                <w:rPr>
                  <w:rStyle w:val="Hyperlink"/>
                </w:rPr>
                <w:t xml:space="preserve">Microsoft Learn training browser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Free modular learning paths under every product above</w:t>
            </w:r>
          </w:p>
        </w:tc>
      </w:tr>
    </w:tbl>
    <w:bookmarkEnd w:id="73"/>
    <w:bookmarkStart w:id="80" w:name="networking-ddi"/>
    <w:p>
      <w:pPr>
        <w:pStyle w:val="Heading1"/>
      </w:pPr>
      <w:r>
        <w:t xml:space="preserve">Networking &amp; DDI</w:t>
      </w:r>
    </w:p>
    <w:p>
      <w:pPr>
        <w:pStyle w:val="TableCaption"/>
      </w:pPr>
      <w:r>
        <w:t xml:space="preserve">Networking &amp; DDI training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Networking &amp; DDI training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Offering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Cisco</w:t>
            </w:r>
          </w:p>
        </w:tc>
        <w:tc>
          <w:tcPr/>
          <w:p>
            <w:pPr>
              <w:pStyle w:val="Compact"/>
            </w:pPr>
            <w:hyperlink r:id="rId74">
              <w:r>
                <w:rPr>
                  <w:rStyle w:val="Hyperlink"/>
                </w:rPr>
                <w:t xml:space="preserve">Cisco U.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02, 05, 07</w:t>
            </w:r>
          </w:p>
        </w:tc>
        <w:tc>
          <w:tcPr/>
          <w:p>
            <w:pPr>
              <w:pStyle w:val="Compact"/>
            </w:pPr>
            <w:r>
              <w:t xml:space="preserve">SD-WAN (ENSDWI-track), ISE/802.1X NAC, enterprise routing; subscription with free tiers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Cisco</w:t>
            </w:r>
          </w:p>
        </w:tc>
        <w:tc>
          <w:tcPr/>
          <w:p>
            <w:pPr>
              <w:pStyle w:val="Compact"/>
            </w:pPr>
            <w:hyperlink r:id="rId75">
              <w:r>
                <w:rPr>
                  <w:rStyle w:val="Hyperlink"/>
                </w:rPr>
                <w:t xml:space="preserve">Networking Academy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02, 05, 06</w:t>
            </w:r>
          </w:p>
        </w:tc>
        <w:tc>
          <w:tcPr/>
          <w:p>
            <w:pPr>
              <w:pStyle w:val="Compact"/>
            </w:pPr>
            <w:r>
              <w:t xml:space="preserve">Free foundational networking incl. switching/802.1X basics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Juniper</w:t>
            </w:r>
          </w:p>
        </w:tc>
        <w:tc>
          <w:tcPr/>
          <w:p>
            <w:pPr>
              <w:pStyle w:val="Compact"/>
            </w:pPr>
            <w:hyperlink r:id="rId76">
              <w:r>
                <w:rPr>
                  <w:rStyle w:val="Hyperlink"/>
                </w:rPr>
                <w:t xml:space="preserve">Juniper Networks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07</w:t>
            </w:r>
          </w:p>
        </w:tc>
        <w:tc>
          <w:tcPr/>
          <w:p>
            <w:pPr>
              <w:pStyle w:val="Compact"/>
            </w:pPr>
            <w:r>
              <w:t xml:space="preserve">SD-WAN/routing and Mist Access Assurance NAC where Juniper gear is in scope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Infoblox</w:t>
            </w:r>
          </w:p>
        </w:tc>
        <w:tc>
          <w:tcPr/>
          <w:p>
            <w:pPr>
              <w:pStyle w:val="Compact"/>
            </w:pPr>
            <w:hyperlink r:id="rId77">
              <w:r>
                <w:rPr>
                  <w:rStyle w:val="Hyperlink"/>
                </w:rPr>
                <w:t xml:space="preserve">Infoblox Education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01</w:t>
            </w:r>
          </w:p>
        </w:tc>
        <w:tc>
          <w:tcPr/>
          <w:p>
            <w:pPr>
              <w:pStyle w:val="Compact"/>
            </w:pPr>
            <w:r>
              <w:t xml:space="preserve">DDI (IPAM/DNS/DHCP) training for the reference stack — role-based courses + free Launchpad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BlueCat</w:t>
            </w:r>
          </w:p>
        </w:tc>
        <w:tc>
          <w:tcPr/>
          <w:p>
            <w:pPr>
              <w:pStyle w:val="Compact"/>
            </w:pPr>
            <w:hyperlink r:id="rId78">
              <w:r>
                <w:rPr>
                  <w:rStyle w:val="Hyperlink"/>
                </w:rPr>
                <w:t xml:space="preserve">BlueCat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01</w:t>
            </w:r>
          </w:p>
        </w:tc>
        <w:tc>
          <w:tcPr/>
          <w:p>
            <w:pPr>
              <w:pStyle w:val="Compact"/>
            </w:pPr>
            <w:r>
              <w:t xml:space="preserve">DDI learning paths for the BlueCat migration path covered by the reference implementation’s adapter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CompTIA</w:t>
            </w:r>
          </w:p>
        </w:tc>
        <w:tc>
          <w:tcPr/>
          <w:p>
            <w:pPr>
              <w:pStyle w:val="Compact"/>
            </w:pPr>
            <w:hyperlink r:id="rId79">
              <w:r>
                <w:rPr>
                  <w:rStyle w:val="Hyperlink"/>
                </w:rPr>
                <w:t xml:space="preserve">CompTIA (Network+, Security+)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0–I</w:t>
            </w:r>
          </w:p>
        </w:tc>
        <w:tc>
          <w:tcPr/>
          <w:p>
            <w:pPr>
              <w:pStyle w:val="Compact"/>
            </w:pPr>
            <w:r>
              <w:t xml:space="preserve">Vendor-neutral baseline for staff entering without a networking background</w:t>
            </w:r>
          </w:p>
        </w:tc>
      </w:tr>
    </w:tbl>
    <w:bookmarkEnd w:id="80"/>
    <w:bookmarkStart w:id="86" w:name="identity-zero-trust"/>
    <w:p>
      <w:pPr>
        <w:pStyle w:val="Heading1"/>
      </w:pPr>
      <w:r>
        <w:t xml:space="preserve">Identity &amp; Zero Trust</w:t>
      </w:r>
    </w:p>
    <w:p>
      <w:pPr>
        <w:pStyle w:val="TableCaption"/>
      </w:pPr>
      <w:r>
        <w:t xml:space="preserve">Identity &amp; zero-trust training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Identity &amp; zero-trust training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Offering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</w:t>
            </w:r>
          </w:p>
        </w:tc>
        <w:tc>
          <w:tcPr/>
          <w:p>
            <w:pPr>
              <w:pStyle w:val="Compact"/>
            </w:pPr>
            <w:r>
              <w:t xml:space="preserve">SC-300 / AZ-500 (see</w:t>
            </w:r>
            <w:r>
              <w:t xml:space="preserve"> </w:t>
            </w:r>
            <w:hyperlink w:anchor="microsoft">
              <w:r>
                <w:rPr>
                  <w:rStyle w:val="Hyperlink"/>
                </w:rPr>
                <w:t xml:space="preserve">§Microsoft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Vol I Bk 03/04/05 · Vol III Bk 01</w:t>
            </w:r>
          </w:p>
        </w:tc>
        <w:tc>
          <w:tcPr/>
          <w:p>
            <w:pPr>
              <w:pStyle w:val="Compact"/>
            </w:pPr>
            <w:r>
              <w:t xml:space="preserve">Primary identity stack incl. the credential plane and lifecycle provisioning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SailPoint</w:t>
            </w:r>
          </w:p>
        </w:tc>
        <w:tc>
          <w:tcPr/>
          <w:p>
            <w:pPr>
              <w:pStyle w:val="Compact"/>
            </w:pPr>
            <w:hyperlink r:id="rId81">
              <w:r>
                <w:rPr>
                  <w:rStyle w:val="Hyperlink"/>
                </w:rPr>
                <w:t xml:space="preserve">Identity University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04 · Vol III Bk 01</w:t>
            </w:r>
          </w:p>
        </w:tc>
        <w:tc>
          <w:tcPr/>
          <w:p>
            <w:pPr>
              <w:pStyle w:val="Compact"/>
            </w:pPr>
            <w:r>
              <w:t xml:space="preserve">Joiner-mover-leaver governance for the HRIT lifecycle; NERM boundary exception documented in Vol III Bk 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Fortinet</w:t>
            </w:r>
          </w:p>
        </w:tc>
        <w:tc>
          <w:tcPr/>
          <w:p>
            <w:pPr>
              <w:pStyle w:val="Compact"/>
            </w:pPr>
            <w:hyperlink r:id="rId82">
              <w:r>
                <w:rPr>
                  <w:rStyle w:val="Hyperlink"/>
                </w:rPr>
                <w:t xml:space="preserve">Fortinet Training Institute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05, 06</w:t>
            </w:r>
          </w:p>
        </w:tc>
        <w:tc>
          <w:tcPr/>
          <w:p>
            <w:pPr>
              <w:pStyle w:val="Compact"/>
            </w:pPr>
            <w:r>
              <w:t xml:space="preserve">Free NSE-track courses; SASE/ZTNA modules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Palo Alto Networks</w:t>
            </w:r>
          </w:p>
        </w:tc>
        <w:tc>
          <w:tcPr/>
          <w:p>
            <w:pPr>
              <w:pStyle w:val="Compact"/>
            </w:pPr>
            <w:hyperlink r:id="rId83">
              <w:r>
                <w:rPr>
                  <w:rStyle w:val="Hyperlink"/>
                </w:rPr>
                <w:t xml:space="preserve">Education services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05, 06, 07</w:t>
            </w:r>
          </w:p>
        </w:tc>
        <w:tc>
          <w:tcPr/>
          <w:p>
            <w:pPr>
              <w:pStyle w:val="Compact"/>
            </w:pPr>
            <w:r>
              <w:t xml:space="preserve">SASE (Prisma-track) coursework where Palo Alto is the SASE vendor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Zscaler</w:t>
            </w:r>
          </w:p>
        </w:tc>
        <w:tc>
          <w:tcPr/>
          <w:p>
            <w:pPr>
              <w:pStyle w:val="Compact"/>
            </w:pPr>
            <w:hyperlink r:id="rId84">
              <w:r>
                <w:rPr>
                  <w:rStyle w:val="Hyperlink"/>
                </w:rPr>
                <w:t xml:space="preserve">Zscaler Cyber Academy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05, 06</w:t>
            </w:r>
          </w:p>
        </w:tc>
        <w:tc>
          <w:tcPr/>
          <w:p>
            <w:pPr>
              <w:pStyle w:val="Compact"/>
            </w:pPr>
            <w:r>
              <w:t xml:space="preserve">ZDTA/ZTCA-track SASE and zero-trust; separate Government Academy for federal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Netskope</w:t>
            </w:r>
          </w:p>
        </w:tc>
        <w:tc>
          <w:tcPr/>
          <w:p>
            <w:pPr>
              <w:pStyle w:val="Compact"/>
            </w:pPr>
            <w:hyperlink r:id="rId85">
              <w:r>
                <w:rPr>
                  <w:rStyle w:val="Hyperlink"/>
                </w:rPr>
                <w:t xml:space="preserve">Netskope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05, 06</w:t>
            </w:r>
          </w:p>
        </w:tc>
        <w:tc>
          <w:tcPr/>
          <w:p>
            <w:pPr>
              <w:pStyle w:val="Compact"/>
            </w:pPr>
            <w:r>
              <w:t xml:space="preserve">Netskope One administrator/professional and SASE accreditation</w:t>
            </w:r>
          </w:p>
        </w:tc>
      </w:tr>
    </w:tbl>
    <w:bookmarkEnd w:id="86"/>
    <w:bookmarkStart w:id="87" w:name="data-platform"/>
    <w:p>
      <w:pPr>
        <w:pStyle w:val="Heading1"/>
      </w:pPr>
      <w:r>
        <w:t xml:space="preserve">Data Platform</w:t>
      </w:r>
    </w:p>
    <w:p>
      <w:pPr>
        <w:pStyle w:val="TableCaption"/>
      </w:pPr>
      <w:r>
        <w:t xml:space="preserve">Data-platform training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Data-platform training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Offering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</w:t>
            </w:r>
          </w:p>
        </w:tc>
        <w:tc>
          <w:tcPr/>
          <w:p>
            <w:pPr>
              <w:pStyle w:val="Compact"/>
            </w:pPr>
            <w:r>
              <w:t xml:space="preserve">DP-300 + SQL learning paths (see</w:t>
            </w:r>
            <w:r>
              <w:t xml:space="preserve"> </w:t>
            </w:r>
            <w:hyperlink w:anchor="microsoft">
              <w:r>
                <w:rPr>
                  <w:rStyle w:val="Hyperlink"/>
                </w:rPr>
                <w:t xml:space="preserve">§Microsoft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Vol II Bk 01–03</w:t>
            </w:r>
          </w:p>
        </w:tc>
        <w:tc>
          <w:tcPr/>
          <w:p>
            <w:pPr>
              <w:pStyle w:val="Compact"/>
            </w:pPr>
            <w:r>
              <w:t xml:space="preserve">Authentication modernization, managed instance patterns, HA/DR for consolidation</w:t>
            </w:r>
          </w:p>
        </w:tc>
      </w:tr>
    </w:tbl>
    <w:bookmarkEnd w:id="87"/>
    <w:bookmarkStart w:id="94" w:name="security-operations"/>
    <w:p>
      <w:pPr>
        <w:pStyle w:val="Heading1"/>
      </w:pPr>
      <w:r>
        <w:t xml:space="preserve">Security Operations</w:t>
      </w:r>
    </w:p>
    <w:p>
      <w:pPr>
        <w:pStyle w:val="TableCaption"/>
      </w:pPr>
      <w:r>
        <w:t xml:space="preserve">Security-operations training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Security-operations training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Offering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</w:t>
            </w:r>
          </w:p>
        </w:tc>
        <w:tc>
          <w:tcPr/>
          <w:p>
            <w:pPr>
              <w:pStyle w:val="Compact"/>
            </w:pPr>
            <w:r>
              <w:t xml:space="preserve">SC-200 (see</w:t>
            </w:r>
            <w:r>
              <w:t xml:space="preserve"> </w:t>
            </w:r>
            <w:hyperlink w:anchor="microsoft">
              <w:r>
                <w:rPr>
                  <w:rStyle w:val="Hyperlink"/>
                </w:rPr>
                <w:t xml:space="preserve">§Microsoft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Vol III Bk 02, 06</w:t>
            </w:r>
          </w:p>
        </w:tc>
        <w:tc>
          <w:tcPr/>
          <w:p>
            <w:pPr>
              <w:pStyle w:val="Compact"/>
            </w:pPr>
            <w:r>
              <w:t xml:space="preserve">Sentinel + Defender — the reference SIEM/XDR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Splunk</w:t>
            </w:r>
          </w:p>
        </w:tc>
        <w:tc>
          <w:tcPr/>
          <w:p>
            <w:pPr>
              <w:pStyle w:val="Compact"/>
            </w:pPr>
            <w:hyperlink r:id="rId88">
              <w:r>
                <w:rPr>
                  <w:rStyle w:val="Hyperlink"/>
                </w:rPr>
                <w:t xml:space="preserve">Splunk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06</w:t>
            </w:r>
          </w:p>
        </w:tc>
        <w:tc>
          <w:tcPr/>
          <w:p>
            <w:pPr>
              <w:pStyle w:val="Compact"/>
            </w:pPr>
            <w:r>
              <w:t xml:space="preserve">Portable SIEM/detection fundamentals for mixed SIEM estates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Elastic</w:t>
            </w:r>
          </w:p>
        </w:tc>
        <w:tc>
          <w:tcPr/>
          <w:p>
            <w:pPr>
              <w:pStyle w:val="Compact"/>
            </w:pPr>
            <w:hyperlink r:id="rId89">
              <w:r>
                <w:rPr>
                  <w:rStyle w:val="Hyperlink"/>
                </w:rPr>
                <w:t xml:space="preserve">Elastic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06</w:t>
            </w:r>
          </w:p>
        </w:tc>
        <w:tc>
          <w:tcPr/>
          <w:p>
            <w:pPr>
              <w:pStyle w:val="Compact"/>
            </w:pPr>
            <w:r>
              <w:t xml:space="preserve">Detection-engineering concepts transfer; same rationale as Splunk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SANS</w:t>
            </w:r>
          </w:p>
        </w:tc>
        <w:tc>
          <w:tcPr/>
          <w:p>
            <w:pPr>
              <w:pStyle w:val="Compact"/>
            </w:pPr>
            <w:hyperlink r:id="rId90">
              <w:r>
                <w:rPr>
                  <w:rStyle w:val="Hyperlink"/>
                </w:rPr>
                <w:t xml:space="preserve">SANS course catalog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01, 02, 06 · Vol IV Bk 05</w:t>
            </w:r>
          </w:p>
        </w:tc>
        <w:tc>
          <w:tcPr/>
          <w:p>
            <w:pPr>
              <w:pStyle w:val="Compact"/>
            </w:pPr>
            <w:r>
              <w:t xml:space="preserve">Instructor-led depth (detection, vuln mgmt, privileged access); GIAC-certifiable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ISC2</w:t>
            </w:r>
          </w:p>
        </w:tc>
        <w:tc>
          <w:tcPr/>
          <w:p>
            <w:pPr>
              <w:pStyle w:val="Compact"/>
            </w:pPr>
            <w:hyperlink r:id="rId91">
              <w:r>
                <w:rPr>
                  <w:rStyle w:val="Hyperlink"/>
                </w:rPr>
                <w:t xml:space="preserve">ISC2 certifications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0 Bk 00 · Vol IV Bk 03</w:t>
            </w:r>
          </w:p>
        </w:tc>
        <w:tc>
          <w:tcPr/>
          <w:p>
            <w:pPr>
              <w:pStyle w:val="Compact"/>
            </w:pPr>
            <w:r>
              <w:t xml:space="preserve">CISSP/CGRC-track governance framing for program leads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Tenable</w:t>
            </w:r>
          </w:p>
        </w:tc>
        <w:tc>
          <w:tcPr/>
          <w:p>
            <w:pPr>
              <w:pStyle w:val="Compact"/>
            </w:pPr>
            <w:hyperlink r:id="rId92">
              <w:r>
                <w:rPr>
                  <w:rStyle w:val="Hyperlink"/>
                </w:rPr>
                <w:t xml:space="preserve">Tenable education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02</w:t>
            </w:r>
          </w:p>
        </w:tc>
        <w:tc>
          <w:tcPr/>
          <w:p>
            <w:pPr>
              <w:pStyle w:val="Compact"/>
            </w:pPr>
            <w:r>
              <w:t xml:space="preserve">Nessus / Tenable VM — alternative vuln-management stack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Qualys</w:t>
            </w:r>
          </w:p>
        </w:tc>
        <w:tc>
          <w:tcPr/>
          <w:p>
            <w:pPr>
              <w:pStyle w:val="Compact"/>
            </w:pPr>
            <w:hyperlink r:id="rId93">
              <w:r>
                <w:rPr>
                  <w:rStyle w:val="Hyperlink"/>
                </w:rPr>
                <w:t xml:space="preserve">Qualys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02</w:t>
            </w:r>
          </w:p>
        </w:tc>
        <w:tc>
          <w:tcPr/>
          <w:p>
            <w:pPr>
              <w:pStyle w:val="Compact"/>
            </w:pPr>
            <w:r>
              <w:t xml:space="preserve">Free certified courses with labs (VMDR, CSAM) — alternative-stack rationale</w:t>
            </w:r>
          </w:p>
        </w:tc>
      </w:tr>
    </w:tbl>
    <w:bookmarkEnd w:id="94"/>
    <w:bookmarkStart w:id="104" w:name="federal-compliance"/>
    <w:p>
      <w:pPr>
        <w:pStyle w:val="Heading1"/>
      </w:pPr>
      <w:r>
        <w:t xml:space="preserve">Federal &amp; Compliance</w:t>
      </w:r>
    </w:p>
    <w:p>
      <w:pPr>
        <w:pStyle w:val="TableCaption"/>
      </w:pPr>
      <w:r>
        <w:t xml:space="preserve">Federal &amp; compliance training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Federal &amp; compliance training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Offering</w:t>
            </w:r>
          </w:p>
        </w:tc>
        <w:tc>
          <w:tcPr/>
          <w:p>
            <w:pPr>
              <w:pStyle w:val="Compact"/>
            </w:pPr>
            <w:r>
              <w:t xml:space="preserve">Volumes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CISA</w:t>
            </w:r>
          </w:p>
        </w:tc>
        <w:tc>
          <w:tcPr/>
          <w:p>
            <w:pPr>
              <w:pStyle w:val="Compact"/>
            </w:pPr>
            <w:hyperlink r:id="rId95">
              <w:r>
                <w:rPr>
                  <w:rStyle w:val="Hyperlink"/>
                </w:rPr>
                <w:t xml:space="preserve">CISA Learning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02, 06 · Vol IV Bk 01, 05</w:t>
            </w:r>
          </w:p>
        </w:tc>
        <w:tc>
          <w:tcPr/>
          <w:p>
            <w:pPr>
              <w:pStyle w:val="Compact"/>
            </w:pPr>
            <w:r>
              <w:t xml:space="preserve">Free federal cyber training (successor to FedVTE) — IR, vuln mgmt, continuity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CISA</w:t>
            </w:r>
          </w:p>
        </w:tc>
        <w:tc>
          <w:tcPr/>
          <w:p>
            <w:pPr>
              <w:pStyle w:val="Compact"/>
            </w:pPr>
            <w:hyperlink r:id="rId96">
              <w:r>
                <w:rPr>
                  <w:rStyle w:val="Hyperlink"/>
                </w:rPr>
                <w:t xml:space="preserve">Training resources index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02, 06 · Vol IV Bk 01, 02</w:t>
            </w:r>
          </w:p>
        </w:tc>
        <w:tc>
          <w:tcPr/>
          <w:p>
            <w:pPr>
              <w:pStyle w:val="Compact"/>
            </w:pPr>
            <w:r>
              <w:t xml:space="preserve">KEV-driven vulnerability response and SCuBA-adjacent material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FedRAMP PMO</w:t>
            </w:r>
          </w:p>
        </w:tc>
        <w:tc>
          <w:tcPr/>
          <w:p>
            <w:pPr>
              <w:pStyle w:val="Compact"/>
            </w:pPr>
            <w:hyperlink r:id="rId61">
              <w:r>
                <w:rPr>
                  <w:rStyle w:val="Hyperlink"/>
                </w:rPr>
                <w:t xml:space="preserve">fedramp.gov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0 Bk 00 · Vol IV Bk 02, 03, 06</w:t>
            </w:r>
          </w:p>
        </w:tc>
        <w:tc>
          <w:tcPr/>
          <w:p>
            <w:pPr>
              <w:pStyle w:val="Compact"/>
            </w:pPr>
            <w:r>
              <w:t xml:space="preserve">20x program docs, KSI definitions, submission process — the Track A 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NIST</w:t>
            </w:r>
          </w:p>
        </w:tc>
        <w:tc>
          <w:tcPr/>
          <w:p>
            <w:pPr>
              <w:pStyle w:val="Compact"/>
            </w:pPr>
            <w:hyperlink r:id="rId97">
              <w:r>
                <w:rPr>
                  <w:rStyle w:val="Hyperlink"/>
                </w:rPr>
                <w:t xml:space="preserve">NICE Workforce Framework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IV Bk 03, 05</w:t>
            </w:r>
          </w:p>
        </w:tc>
        <w:tc>
          <w:tcPr/>
          <w:p>
            <w:pPr>
              <w:pStyle w:val="Compact"/>
            </w:pPr>
            <w:r>
              <w:t xml:space="preserve">Role/competency framework — maps program roles to workforce categories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AWS</w:t>
            </w:r>
          </w:p>
        </w:tc>
        <w:tc>
          <w:tcPr/>
          <w:p>
            <w:pPr>
              <w:pStyle w:val="Compact"/>
            </w:pPr>
            <w:hyperlink r:id="rId98">
              <w:r>
                <w:rPr>
                  <w:rStyle w:val="Hyperlink"/>
                </w:rPr>
                <w:t xml:space="preserve">AWS Skill Builder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 Bk 06</w:t>
            </w:r>
          </w:p>
        </w:tc>
        <w:tc>
          <w:tcPr/>
          <w:p>
            <w:pPr>
              <w:pStyle w:val="Compact"/>
            </w:pPr>
            <w:r>
              <w:t xml:space="preserve">Amazon Connect training for the N8NN contact-center boundary exception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OpenSSF</w:t>
            </w:r>
          </w:p>
        </w:tc>
        <w:tc>
          <w:tcPr/>
          <w:p>
            <w:pPr>
              <w:pStyle w:val="Compact"/>
            </w:pPr>
            <w:hyperlink r:id="rId99">
              <w:r>
                <w:rPr>
                  <w:rStyle w:val="Hyperlink"/>
                </w:rPr>
                <w:t xml:space="preserve">OpenSSF training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IV Bk 02</w:t>
            </w:r>
          </w:p>
        </w:tc>
        <w:tc>
          <w:tcPr/>
          <w:p>
            <w:pPr>
              <w:pStyle w:val="Compact"/>
            </w:pPr>
            <w:r>
              <w:t xml:space="preserve">Developing Secure Software (LFD121) — supply-chain fundamentals for the SBOM pipeline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Linux Foundation</w:t>
            </w:r>
          </w:p>
        </w:tc>
        <w:tc>
          <w:tcPr/>
          <w:p>
            <w:pPr>
              <w:pStyle w:val="Compact"/>
            </w:pPr>
            <w:hyperlink r:id="rId100">
              <w:r>
                <w:rPr>
                  <w:rStyle w:val="Hyperlink"/>
                </w:rPr>
                <w:t xml:space="preserve">Automating Supply Chain Security: SBOMs and Signatures (LFEL1007)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IV Bk 02</w:t>
            </w:r>
          </w:p>
        </w:tc>
        <w:tc>
          <w:tcPr/>
          <w:p>
            <w:pPr>
              <w:pStyle w:val="Compact"/>
            </w:pPr>
            <w:r>
              <w:t xml:space="preserve">Matches the Syft/SBOM/signing pipeline (CycloneDX, attestation, signing)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ISACA</w:t>
            </w:r>
          </w:p>
        </w:tc>
        <w:tc>
          <w:tcPr/>
          <w:p>
            <w:pPr>
              <w:pStyle w:val="Compact"/>
            </w:pPr>
            <w:hyperlink r:id="rId101">
              <w:r>
                <w:rPr>
                  <w:rStyle w:val="Hyperlink"/>
                </w:rPr>
                <w:t xml:space="preserve">ISACA credentialing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IV Bk 03</w:t>
            </w:r>
          </w:p>
        </w:tc>
        <w:tc>
          <w:tcPr/>
          <w:p>
            <w:pPr>
              <w:pStyle w:val="Compact"/>
            </w:pPr>
            <w:r>
              <w:t xml:space="preserve">CISM / CRISC governance and risk tracks for PM-governance roles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IAPP</w:t>
            </w:r>
          </w:p>
        </w:tc>
        <w:tc>
          <w:tcPr/>
          <w:p>
            <w:pPr>
              <w:pStyle w:val="Compact"/>
            </w:pPr>
            <w:hyperlink r:id="rId102">
              <w:r>
                <w:rPr>
                  <w:rStyle w:val="Hyperlink"/>
                </w:rPr>
                <w:t xml:space="preserve">IAPP certification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IV Bk 04</w:t>
            </w:r>
          </w:p>
        </w:tc>
        <w:tc>
          <w:tcPr/>
          <w:p>
            <w:pPr>
              <w:pStyle w:val="Compact"/>
            </w:pPr>
            <w:r>
              <w:t xml:space="preserve">CIPP/US and CIPM privacy training for the PT-family 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ServiceNow</w:t>
            </w:r>
          </w:p>
        </w:tc>
        <w:tc>
          <w:tcPr/>
          <w:p>
            <w:pPr>
              <w:pStyle w:val="Compact"/>
            </w:pPr>
            <w:hyperlink r:id="rId103">
              <w:r>
                <w:rPr>
                  <w:rStyle w:val="Hyperlink"/>
                </w:rPr>
                <w:t xml:space="preserve">ServiceNow University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Vol III Bk 06 · Vol IV Bk 03</w:t>
            </w:r>
          </w:p>
        </w:tc>
        <w:tc>
          <w:tcPr/>
          <w:p>
            <w:pPr>
              <w:pStyle w:val="Compact"/>
            </w:pPr>
            <w:r>
              <w:t xml:space="preserve">ITSM/CMDB training — the incident-ticket and evidence-workflow side; the reference implementation ships a ServiceNow adapter</w:t>
            </w:r>
          </w:p>
        </w:tc>
      </w:tr>
    </w:tbl>
    <w:bookmarkEnd w:id="104"/>
    <w:bookmarkStart w:id="109" w:name="lab-environments"/>
    <w:p>
      <w:pPr>
        <w:pStyle w:val="Heading1"/>
      </w:pPr>
      <w:r>
        <w:t xml:space="preserve">Lab Environments</w:t>
      </w:r>
    </w:p>
    <w:p>
      <w:pPr>
        <w:pStyle w:val="FirstParagraph"/>
      </w:pPr>
      <w:r>
        <w:t xml:space="preserve">Each Track B module ends with labs; the environments below stand up what those</w:t>
      </w:r>
      <w:r>
        <w:t xml:space="preserve"> </w:t>
      </w:r>
      <w:r>
        <w:t xml:space="preserve">labs need. Scripts are embedded in the manuscripts — this is documentation</w:t>
      </w:r>
      <w:r>
        <w:t xml:space="preserve"> </w:t>
      </w:r>
      <w:r>
        <w:t xml:space="preserve">source, not a runnable tree; copy the blocks into your own shell/tenant.</w:t>
      </w:r>
    </w:p>
    <w:bookmarkStart w:id="105" w:name="lab-tiers"/>
    <w:p>
      <w:pPr>
        <w:pStyle w:val="Heading2"/>
      </w:pPr>
      <w:r>
        <w:t xml:space="preserve">Lab Tiers</w:t>
      </w:r>
    </w:p>
    <w:p>
      <w:pPr>
        <w:pStyle w:val="TableCaption"/>
      </w:pPr>
      <w:r>
        <w:t xml:space="preserve">The three lab tiers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three lab tiers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What it needs</w:t>
            </w:r>
          </w:p>
        </w:tc>
        <w:tc>
          <w:tcPr/>
          <w:p>
            <w:pPr>
              <w:pStyle w:val="Compact"/>
            </w:pPr>
            <w:r>
              <w:t xml:space="preserve">Use when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F — fixture</w:t>
            </w:r>
          </w:p>
        </w:tc>
        <w:tc>
          <w:tcPr/>
          <w:p>
            <w:pPr>
              <w:pStyle w:val="Compact"/>
            </w:pPr>
            <w:r>
              <w:t xml:space="preserve">Nothing but this repo and Python</w:t>
            </w:r>
          </w:p>
        </w:tc>
        <w:tc>
          <w:tcPr/>
          <w:p>
            <w:pPr>
              <w:pStyle w:val="Compact"/>
            </w:pPr>
            <w:r>
              <w:t xml:space="preserve">You want the evidence-binding mechanics (slot YAML →</w:t>
            </w:r>
            <w:r>
              <w:t xml:space="preserve"> </w:t>
            </w:r>
            <w:r>
              <w:rPr>
                <w:rStyle w:val="VerbatimChar"/>
              </w:rPr>
              <w:t xml:space="preserve">&lt;engine&gt; oscal ksi-ar</w:t>
            </w:r>
            <w:r>
              <w:t xml:space="preserve">) with no cloud footprint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T — trial tenant</w:t>
            </w:r>
          </w:p>
        </w:tc>
        <w:tc>
          <w:tcPr/>
          <w:p>
            <w:pPr>
              <w:pStyle w:val="Compact"/>
            </w:pPr>
            <w:r>
              <w:t xml:space="preserve">A Microsoft 365 developer/trial tenant + Azure trial</w:t>
            </w:r>
          </w:p>
        </w:tc>
        <w:tc>
          <w:tcPr/>
          <w:p>
            <w:pPr>
              <w:pStyle w:val="Compact"/>
            </w:pPr>
            <w:r>
              <w:t xml:space="preserve">The access/identity, PIM, Sentinel, and Purview labs — full behavior, disposable blast radius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P — product eval</w:t>
            </w:r>
          </w:p>
        </w:tc>
        <w:tc>
          <w:tcPr/>
          <w:p>
            <w:pPr>
              <w:pStyle w:val="Compact"/>
            </w:pPr>
            <w:r>
              <w:t xml:space="preserve">A vendor eval (Infoblox/BlueCat) or containerized DNS/DHCP</w:t>
            </w:r>
          </w:p>
        </w:tc>
        <w:tc>
          <w:tcPr/>
          <w:p>
            <w:pPr>
              <w:pStyle w:val="Compact"/>
            </w:pPr>
            <w:r>
              <w:t xml:space="preserve">The DDI lab’s split-horizon and provisioning exercises</w:t>
            </w:r>
          </w:p>
        </w:tc>
      </w:tr>
    </w:tbl>
    <w:bookmarkEnd w:id="105"/>
    <w:bookmarkStart w:id="106" w:name="safety-rules-read-before-any-lab"/>
    <w:p>
      <w:pPr>
        <w:pStyle w:val="Heading2"/>
      </w:pPr>
      <w:r>
        <w:t xml:space="preserve">Safety Rules (Read Before Any Lab)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Never a production tenant.</w:t>
      </w:r>
      <w:r>
        <w:t xml:space="preserve"> </w:t>
      </w:r>
      <w:r>
        <w:t xml:space="preserve">Every lab assumes a disposable tenant or</w:t>
      </w:r>
      <w:r>
        <w:t xml:space="preserve"> </w:t>
      </w:r>
      <w:r>
        <w:t xml:space="preserve">subscription you can delete. PIM changes, CA policies, and DLP enforcement are</w:t>
      </w:r>
      <w:r>
        <w:t xml:space="preserve"> </w:t>
      </w:r>
      <w:r>
        <w:t xml:space="preserve">exactly the things that lock organizations out.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Report-only first.</w:t>
      </w:r>
      <w:r>
        <w:t xml:space="preserve"> </w:t>
      </w:r>
      <w:r>
        <w:t xml:space="preserve">Where a lab creates a Conditional Access or DLP policy,</w:t>
      </w:r>
      <w:r>
        <w:t xml:space="preserve"> </w:t>
      </w:r>
      <w:r>
        <w:t xml:space="preserve">it is created in report-only/simulation mode — the discipline Vol III Books 01</w:t>
      </w:r>
      <w:r>
        <w:t xml:space="preserve"> </w:t>
      </w:r>
      <w:r>
        <w:t xml:space="preserve">and 05 mandate for production.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Break-glass before lockdown.</w:t>
      </w:r>
      <w:r>
        <w:t xml:space="preserve"> </w:t>
      </w:r>
      <w:r>
        <w:t xml:space="preserve">The PIM lab creates its excluded emergency</w:t>
      </w:r>
      <w:r>
        <w:t xml:space="preserve"> </w:t>
      </w:r>
      <w:r>
        <w:t xml:space="preserve">account</w:t>
      </w:r>
      <w:r>
        <w:t xml:space="preserve"> </w:t>
      </w:r>
      <w:r>
        <w:rPr>
          <w:i/>
          <w:iCs/>
        </w:rPr>
        <w:t xml:space="preserve">first</w:t>
      </w:r>
      <w:r>
        <w:t xml:space="preserve">, mirroring Vol III Book 01’s ordering.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Teardown is part of the lab.</w:t>
      </w:r>
      <w:r>
        <w:t xml:space="preserve"> </w:t>
      </w:r>
      <w:r>
        <w:t xml:space="preserve">Each lab ends with a teardown block; run it.</w:t>
      </w:r>
      <w:r>
        <w:t xml:space="preserve"> </w:t>
      </w:r>
      <w:r>
        <w:t xml:space="preserve">Orphaned trial resources are how</w:t>
      </w:r>
      <w:r>
        <w:t xml:space="preserve"> </w:t>
      </w:r>
      <w:r>
        <w:t xml:space="preserve">“labs”</w:t>
      </w:r>
      <w:r>
        <w:t xml:space="preserve"> </w:t>
      </w:r>
      <w:r>
        <w:t xml:space="preserve">become shadow IT.</w:t>
      </w:r>
    </w:p>
    <w:bookmarkEnd w:id="106"/>
    <w:bookmarkStart w:id="107" w:name="lab-environment-setups"/>
    <w:p>
      <w:pPr>
        <w:pStyle w:val="Heading2"/>
      </w:pPr>
      <w:r>
        <w:t xml:space="preserve">Lab Environment Setups</w:t>
      </w:r>
    </w:p>
    <w:p>
      <w:pPr>
        <w:pStyle w:val="TableCaption"/>
      </w:pPr>
      <w:r>
        <w:t xml:space="preserve">Lab environment setups by 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Lab environment setups by module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Lab</w:t>
            </w:r>
          </w:p>
        </w:tc>
        <w:tc>
          <w:tcPr/>
          <w:p>
            <w:pPr>
              <w:pStyle w:val="Compact"/>
            </w:pPr>
            <w:r>
              <w:t xml:space="preserve">Module</w:t>
            </w:r>
          </w:p>
        </w:tc>
        <w:tc>
          <w:tcPr/>
          <w:p>
            <w:pPr>
              <w:pStyle w:val="Compact"/>
            </w:pPr>
            <w:r>
              <w:t xml:space="preserve">Stack</w:t>
            </w:r>
          </w:p>
        </w:tc>
        <w:tc>
          <w:tcPr/>
          <w:p>
            <w:pPr>
              <w:pStyle w:val="Compact"/>
            </w:pPr>
            <w:r>
              <w:t xml:space="preserve">Tier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DDI (Vol I Bk 01)</w:t>
            </w:r>
          </w:p>
        </w:tc>
        <w:tc>
          <w:tcPr/>
          <w:p>
            <w:pPr>
              <w:pStyle w:val="Compact"/>
            </w:pPr>
            <w:r>
              <w:t xml:space="preserve">B1</w:t>
            </w:r>
          </w:p>
        </w:tc>
        <w:tc>
          <w:tcPr/>
          <w:p>
            <w:pPr>
              <w:pStyle w:val="Compact"/>
            </w:pPr>
            <w:r>
              <w:t xml:space="preserve">Infoblox eval or BIND/Kea containers + IPAM fixture</w:t>
            </w:r>
          </w:p>
        </w:tc>
        <w:tc>
          <w:tcPr/>
          <w:p>
            <w:pPr>
              <w:pStyle w:val="Compact"/>
            </w:pPr>
            <w:r>
              <w:t xml:space="preserve">P / F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&amp; identity (Vol I Bk 02–04)</w:t>
            </w:r>
          </w:p>
        </w:tc>
        <w:tc>
          <w:tcPr/>
          <w:p>
            <w:pPr>
              <w:pStyle w:val="Compact"/>
            </w:pPr>
            <w:r>
              <w:t xml:space="preserve">B2</w:t>
            </w:r>
          </w:p>
        </w:tc>
        <w:tc>
          <w:tcPr/>
          <w:p>
            <w:pPr>
              <w:pStyle w:val="Compact"/>
            </w:pPr>
            <w:r>
              <w:t xml:space="preserve">NPS/RADIUS + Intune SCEP; lab CA + ACME DNS-01; SCIM shadow-mode</w:t>
            </w:r>
          </w:p>
        </w:tc>
        <w:tc>
          <w:tcPr/>
          <w:p>
            <w:pPr>
              <w:pStyle w:val="Compact"/>
            </w:pPr>
            <w:r>
              <w:t xml:space="preserve">T / F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platform (Vol II Bk 01–03)</w:t>
            </w:r>
          </w:p>
        </w:tc>
        <w:tc>
          <w:tcPr/>
          <w:p>
            <w:pPr>
              <w:pStyle w:val="Compact"/>
            </w:pPr>
            <w:r>
              <w:t xml:space="preserve">B4</w:t>
            </w:r>
          </w:p>
        </w:tc>
        <w:tc>
          <w:tcPr/>
          <w:p>
            <w:pPr>
              <w:pStyle w:val="Compact"/>
            </w:pPr>
            <w:r>
              <w:t xml:space="preserve">SQL Server 2022 container or Azure SQL trial + Entra-integrated auth</w:t>
            </w:r>
          </w:p>
        </w:tc>
        <w:tc>
          <w:tcPr/>
          <w:p>
            <w:pPr>
              <w:pStyle w:val="Compact"/>
            </w:pPr>
            <w:r>
              <w:t xml:space="preserve">T / F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PIM &amp; privileged access (Vol III Bk 01)</w:t>
            </w:r>
          </w:p>
        </w:tc>
        <w:tc>
          <w:tcPr/>
          <w:p>
            <w:pPr>
              <w:pStyle w:val="Compact"/>
            </w:pPr>
            <w:r>
              <w:t xml:space="preserve">B5</w:t>
            </w:r>
          </w:p>
        </w:tc>
        <w:tc>
          <w:tcPr/>
          <w:p>
            <w:pPr>
              <w:pStyle w:val="Compact"/>
            </w:pPr>
            <w:r>
              <w:t xml:space="preserve">Entra ID P2, Intune, Graph PowerShell</w:t>
            </w:r>
          </w:p>
        </w:tc>
        <w:tc>
          <w:tcPr/>
          <w:p>
            <w:pPr>
              <w:pStyle w:val="Compact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Sentinel detection (Vol III Bk 02/06)</w:t>
            </w:r>
          </w:p>
        </w:tc>
        <w:tc>
          <w:tcPr/>
          <w:p>
            <w:pPr>
              <w:pStyle w:val="Compact"/>
            </w:pPr>
            <w:r>
              <w:t xml:space="preserve">B6</w:t>
            </w:r>
          </w:p>
        </w:tc>
        <w:tc>
          <w:tcPr/>
          <w:p>
            <w:pPr>
              <w:pStyle w:val="Compact"/>
            </w:pPr>
            <w:r>
              <w:t xml:space="preserve">Log Analytics + Sentinel, one forwarder VM</w:t>
            </w:r>
          </w:p>
        </w:tc>
        <w:tc>
          <w:tcPr/>
          <w:p>
            <w:pPr>
              <w:pStyle w:val="Compact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Purview data protection (Vol III Bk 05)</w:t>
            </w:r>
          </w:p>
        </w:tc>
        <w:tc>
          <w:tcPr/>
          <w:p>
            <w:pPr>
              <w:pStyle w:val="Compact"/>
            </w:pPr>
            <w:r>
              <w:t xml:space="preserve">B6</w:t>
            </w:r>
          </w:p>
        </w:tc>
        <w:tc>
          <w:tcPr/>
          <w:p>
            <w:pPr>
              <w:pStyle w:val="Compact"/>
            </w:pPr>
            <w:r>
              <w:t xml:space="preserve">Purview labels/DLP, Key Vault Premium</w:t>
            </w:r>
          </w:p>
        </w:tc>
        <w:tc>
          <w:tcPr/>
          <w:p>
            <w:pPr>
              <w:pStyle w:val="Compact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Modules B3 (network/telecom SD-WAN/SASE), B7 (resilience/governance), and B8</w:t>
      </w:r>
      <w:r>
        <w:t xml:space="preserve"> </w:t>
      </w:r>
      <w:r>
        <w:t xml:space="preserve">(authorize &amp; operate) intentionally have no tenant lab: B3 needs vendor SD-WAN</w:t>
      </w:r>
      <w:r>
        <w:t xml:space="preserve"> </w:t>
      </w:r>
      <w:r>
        <w:t xml:space="preserve">gear or eval licenses (track via the vendor tables above), while B7 and B8 are</w:t>
      </w:r>
      <w:r>
        <w:t xml:space="preserve"> </w:t>
      </w:r>
      <w:r>
        <w:t xml:space="preserve">document- and CI-shaped (SBOM workflow on any repo, tabletop exercise, OSCAL</w:t>
      </w:r>
      <w:r>
        <w:t xml:space="preserve"> </w:t>
      </w:r>
      <w:r>
        <w:t xml:space="preserve">bundle generation, training-record JSON validation) — they run anywhere, Tier F.</w:t>
      </w:r>
    </w:p>
    <w:bookmarkEnd w:id="107"/>
    <w:bookmarkStart w:id="108" w:name="the-common-final-step-bind-the-evidence"/>
    <w:p>
      <w:pPr>
        <w:pStyle w:val="Heading2"/>
      </w:pPr>
      <w:r>
        <w:t xml:space="preserve">The Common Final Step — Bind the Evidence</w:t>
      </w:r>
    </w:p>
    <w:p>
      <w:pPr>
        <w:pStyle w:val="FirstParagraph"/>
      </w:pPr>
      <w:r>
        <w:t xml:space="preserve">Every lab ends the same way, regardless of tier: place the produced artifact</w:t>
      </w:r>
      <w:r>
        <w:t xml:space="preserve"> </w:t>
      </w:r>
      <w:r>
        <w:t xml:space="preserve">where a slot mapping can reference it, then regenerate verdicts:</w:t>
      </w:r>
    </w:p>
    <w:p>
      <w:pPr>
        <w:pStyle w:val="SourceCode"/>
      </w:pP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oscal </w:t>
      </w:r>
      <w:r>
        <w:rPr>
          <w:rStyle w:val="ExtensionTok"/>
        </w:rPr>
        <w:t xml:space="preserve">ksi-ar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--output</w:t>
      </w:r>
      <w:r>
        <w:rPr>
          <w:rStyle w:val="NormalTok"/>
        </w:rPr>
        <w:t xml:space="preserve"> exports/oscal/ksi-ar.json</w:t>
      </w:r>
    </w:p>
    <w:p>
      <w:pPr>
        <w:pStyle w:val="FirstParagraph"/>
      </w:pPr>
      <w:r>
        <w:t xml:space="preserve">The Vol V Book 03 rubrics score what you produce.</w:t>
      </w:r>
    </w:p>
    <w:bookmarkEnd w:id="108"/>
    <w:bookmarkEnd w:id="109"/>
    <w:bookmarkStart w:id="110" w:name="cost-notes"/>
    <w:p>
      <w:pPr>
        <w:pStyle w:val="Heading1"/>
      </w:pPr>
      <w:r>
        <w:t xml:space="preserve">Cost Notes</w:t>
      </w:r>
    </w:p>
    <w:p>
      <w:pPr>
        <w:pStyle w:val="Compact"/>
        <w:numPr>
          <w:ilvl w:val="0"/>
          <w:numId w:val="1022"/>
        </w:numPr>
      </w:pPr>
      <w:r>
        <w:t xml:space="preserve">M365 E5 developer/trial tenants cover Entra ID P2 (PIM), Purview, and Defender</w:t>
      </w:r>
      <w:r>
        <w:t xml:space="preserve"> </w:t>
      </w:r>
      <w:r>
        <w:t xml:space="preserve">features for the trial window.</w:t>
      </w:r>
    </w:p>
    <w:p>
      <w:pPr>
        <w:pStyle w:val="Compact"/>
        <w:numPr>
          <w:ilvl w:val="0"/>
          <w:numId w:val="1022"/>
        </w:numPr>
      </w:pPr>
      <w:r>
        <w:t xml:space="preserve">Sentinel bills per GB ingested — the lab keeps ingestion in the free-tier range</w:t>
      </w:r>
      <w:r>
        <w:t xml:space="preserve"> </w:t>
      </w:r>
      <w:r>
        <w:t xml:space="preserve">by using a single VM/forwarder and seeded events.</w:t>
      </w:r>
    </w:p>
    <w:p>
      <w:pPr>
        <w:pStyle w:val="Compact"/>
        <w:numPr>
          <w:ilvl w:val="0"/>
          <w:numId w:val="1022"/>
        </w:numPr>
      </w:pPr>
      <w:r>
        <w:t xml:space="preserve">Infoblox/BlueCat evals are vendor-arranged; the Tier-F fixture path needs no</w:t>
      </w:r>
      <w:r>
        <w:t xml:space="preserve"> </w:t>
      </w:r>
      <w:r>
        <w:t xml:space="preserve">license.</w:t>
      </w:r>
    </w:p>
    <w:bookmarkEnd w:id="110"/>
    <w:bookmarkStart w:id="111" w:name="research-queue"/>
    <w:p>
      <w:pPr>
        <w:pStyle w:val="Heading1"/>
      </w:pPr>
      <w:r>
        <w:t xml:space="preserve">Research Queue</w:t>
      </w:r>
    </w:p>
    <w:p>
      <w:pPr>
        <w:pStyle w:val="FirstParagraph"/>
      </w:pPr>
      <w:r>
        <w:t xml:space="preserve">Candidates identified but not yet verified — next expansion pass: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Instructor-led Compliance cohort design</w:t>
      </w:r>
      <w:r>
        <w:t xml:space="preserve"> </w:t>
      </w:r>
      <w:r>
        <w:t xml:space="preserve">— whether any vendor offers</w:t>
      </w:r>
      <w:r>
        <w:t xml:space="preserve"> </w:t>
      </w:r>
      <w:r>
        <w:t xml:space="preserve">application-aware-networking-specific curriculum worth licensing, vs. composing</w:t>
      </w:r>
      <w:r>
        <w:t xml:space="preserve"> </w:t>
      </w:r>
      <w:r>
        <w:t xml:space="preserve">from the product training above.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Zscaler Government Academy</w:t>
      </w:r>
      <w:r>
        <w:t xml:space="preserve"> </w:t>
      </w:r>
      <w:r>
        <w:t xml:space="preserve">— the federal-specific variant vs. the</w:t>
      </w:r>
      <w:r>
        <w:t xml:space="preserve"> </w:t>
      </w:r>
      <w:r>
        <w:t xml:space="preserve">commercial Cyber Academy for GCC boundary relevance.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CDM program training</w:t>
      </w:r>
      <w:r>
        <w:t xml:space="preserve"> </w:t>
      </w:r>
      <w:r>
        <w:t xml:space="preserve">— DHS/CISA Continuous Diagnostics and Mitigation</w:t>
      </w:r>
      <w:r>
        <w:t xml:space="preserve"> </w:t>
      </w:r>
      <w:r>
        <w:t xml:space="preserve">training for the Vol III Book 02 KEV-upload workflow.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Security-awareness platforms (KnowBe4, Proofpoint)</w:t>
      </w:r>
      <w:r>
        <w:t xml:space="preserve"> </w:t>
      </w:r>
      <w:r>
        <w:t xml:space="preserve">— Vol IV Book 05 names</w:t>
      </w:r>
      <w:r>
        <w:t xml:space="preserve"> </w:t>
      </w:r>
      <w:r>
        <w:t xml:space="preserve">them in its delivery trade-space; verify their academy portals and GCC</w:t>
      </w:r>
      <w:r>
        <w:t xml:space="preserve"> </w:t>
      </w:r>
      <w:r>
        <w:t xml:space="preserve">suitability before adding rows.</w:t>
      </w:r>
    </w:p>
    <w:bookmarkEnd w:id="111"/>
    <w:bookmarkStart w:id="112" w:name="series-context-vol-v-book-04"/>
    <w:p>
      <w:pPr>
        <w:pStyle w:val="Heading1"/>
      </w:pPr>
      <w:r>
        <w:t xml:space="preserve">Series Context — Vol V Book 04</w:t>
      </w:r>
    </w:p>
    <w:p>
      <w:pPr>
        <w:pStyle w:val="FirstParagraph"/>
      </w:pPr>
      <w:r>
        <w:t xml:space="preserve">This book is the realization layer of Volume V and the one place the volume names</w:t>
      </w:r>
      <w:r>
        <w:t xml:space="preserve"> </w:t>
      </w:r>
      <w:r>
        <w:t xml:space="preserve">vendors — deliberately, as Theme F prescribes: one mechanism, N accredited</w:t>
      </w:r>
      <w:r>
        <w:t xml:space="preserve"> </w:t>
      </w:r>
      <w:r>
        <w:t xml:space="preserve">products. It supplies the external training the implementation track (Vol V</w:t>
      </w:r>
      <w:r>
        <w:t xml:space="preserve"> </w:t>
      </w:r>
      <w:r>
        <w:t xml:space="preserve">Book 02) points to for product skill, and the lab environments where that track’s</w:t>
      </w:r>
      <w:r>
        <w:t xml:space="preserve"> </w:t>
      </w:r>
      <w:r>
        <w:t xml:space="preserve">builds are exercised and their evidence produced. The artifacts the labs generate</w:t>
      </w:r>
      <w:r>
        <w:t xml:space="preserve"> </w:t>
      </w:r>
      <w:r>
        <w:t xml:space="preserve">are bound per the common final step and scored against Vol V Book 03’s rubrics.</w:t>
      </w:r>
      <w:r>
        <w:t xml:space="preserve"> </w:t>
      </w:r>
      <w:r>
        <w:t xml:space="preserve">Kept function-first everywhere else, the series confines its vendor surface here —</w:t>
      </w:r>
      <w:r>
        <w:t xml:space="preserve"> </w:t>
      </w:r>
      <w:r>
        <w:t xml:space="preserve">so the doctrine of Books 00–03 stays clean while the learner still gets a</w:t>
      </w:r>
      <w:r>
        <w:t xml:space="preserve"> </w:t>
      </w:r>
      <w:r>
        <w:t xml:space="preserve">concrete, buyable path to the skills.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Federal Compliance — Vol V Book 04 of the series. Volume V is</w:t>
      </w:r>
      <w:r>
        <w:rPr>
          <w:i/>
          <w:iCs/>
        </w:rPr>
        <w:t xml:space="preserve"> </w:t>
      </w:r>
      <w:r>
        <w:rPr>
          <w:i/>
          <w:iCs/>
        </w:rPr>
        <w:t xml:space="preserve">the enablement layer; this book is its realization layer — external vendor</w:t>
      </w:r>
      <w:r>
        <w:rPr>
          <w:i/>
          <w:iCs/>
        </w:rPr>
        <w:t xml:space="preserve"> </w:t>
      </w:r>
      <w:r>
        <w:rPr>
          <w:i/>
          <w:iCs/>
        </w:rPr>
        <w:t xml:space="preserve">training mapped per volume and the scripted lab environments for the</w:t>
      </w:r>
      <w:r>
        <w:rPr>
          <w:i/>
          <w:iCs/>
        </w:rPr>
        <w:t xml:space="preserve"> </w:t>
      </w:r>
      <w:r>
        <w:rPr>
          <w:i/>
          <w:iCs/>
        </w:rPr>
        <w:t xml:space="preserve">implementation track. Vendor names appear here by necessity (Theme F, Mechanism</w:t>
      </w:r>
      <w:r>
        <w:rPr>
          <w:i/>
          <w:iCs/>
        </w:rPr>
        <w:t xml:space="preserve"> </w:t>
      </w:r>
      <w:r>
        <w:rPr>
          <w:i/>
          <w:iCs/>
        </w:rPr>
        <w:t xml:space="preserve">Not Product) and imply no endorsement or procurement decision; verify FedRAMP /</w:t>
      </w:r>
      <w:r>
        <w:rPr>
          <w:i/>
          <w:iCs/>
        </w:rPr>
        <w:t xml:space="preserve"> </w:t>
      </w:r>
      <w:r>
        <w:rPr>
          <w:i/>
          <w:iCs/>
        </w:rPr>
        <w:t xml:space="preserve">federal accreditation status at procurement time. This is companion training</w:t>
      </w:r>
      <w:r>
        <w:rPr>
          <w:i/>
          <w:iCs/>
        </w:rPr>
        <w:t xml:space="preserve"> </w:t>
      </w:r>
      <w:r>
        <w:rPr>
          <w:i/>
          <w:iCs/>
        </w:rPr>
        <w:t xml:space="preserve">material, self-assessed and advisory, pending independent review.</w:t>
      </w:r>
    </w:p>
    <w:bookmarkEnd w:id="1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https://bluecatnetworks.com/services/training/" TargetMode="External" /><Relationship Type="http://schemas.openxmlformats.org/officeDocument/2006/relationships/hyperlink" Id="rId102" Target="https://iapp.org/certify" TargetMode="External" /><Relationship Type="http://schemas.openxmlformats.org/officeDocument/2006/relationships/hyperlink" Id="rId69" Target="https://learn.microsoft.com/en-us/credentials/certifications/azure-database-administrator-associate/" TargetMode="External" /><Relationship Type="http://schemas.openxmlformats.org/officeDocument/2006/relationships/hyperlink" Id="rId65" Target="https://learn.microsoft.com/en-us/credentials/certifications/azure-network-engineer-associate/" TargetMode="External" /><Relationship Type="http://schemas.openxmlformats.org/officeDocument/2006/relationships/hyperlink" Id="rId70" Target="https://learn.microsoft.com/en-us/credentials/certifications/azure-security-engineer/" TargetMode="External" /><Relationship Type="http://schemas.openxmlformats.org/officeDocument/2006/relationships/hyperlink" Id="rId71" Target="https://learn.microsoft.com/en-us/credentials/certifications/cybersecurity-architect-expert/" TargetMode="External" /><Relationship Type="http://schemas.openxmlformats.org/officeDocument/2006/relationships/hyperlink" Id="rId66" Target="https://learn.microsoft.com/en-us/credentials/certifications/identity-and-access-administrator/" TargetMode="External" /><Relationship Type="http://schemas.openxmlformats.org/officeDocument/2006/relationships/hyperlink" Id="rId68" Target="https://learn.microsoft.com/en-us/credentials/certifications/information-security-administrator/" TargetMode="External" /><Relationship Type="http://schemas.openxmlformats.org/officeDocument/2006/relationships/hyperlink" Id="rId67" Target="https://learn.microsoft.com/en-us/credentials/certifications/security-operations-analyst/" TargetMode="External" /><Relationship Type="http://schemas.openxmlformats.org/officeDocument/2006/relationships/hyperlink" Id="rId72" Target="https://learn.microsoft.com/en-us/training/" TargetMode="External" /><Relationship Type="http://schemas.openxmlformats.org/officeDocument/2006/relationships/hyperlink" Id="rId95" Target="https://learning.cisa.gov/" TargetMode="External" /><Relationship Type="http://schemas.openxmlformats.org/officeDocument/2006/relationships/hyperlink" Id="rId103" Target="https://learning.servicenow.com/" TargetMode="External" /><Relationship Type="http://schemas.openxmlformats.org/officeDocument/2006/relationships/hyperlink" Id="rId99" Target="https://openssf.org/training/" TargetMode="External" /><Relationship Type="http://schemas.openxmlformats.org/officeDocument/2006/relationships/hyperlink" Id="rId98" Target="https://skillbuilder.aws/" TargetMode="External" /><Relationship Type="http://schemas.openxmlformats.org/officeDocument/2006/relationships/hyperlink" Id="rId82" Target="https://training.fortinet.com/" TargetMode="External" /><Relationship Type="http://schemas.openxmlformats.org/officeDocument/2006/relationships/hyperlink" Id="rId100" Target="https://training.linuxfoundation.org/express-learning/automating-supply-chain-security-sboms-and-signatures-lfel1007/" TargetMode="External" /><Relationship Type="http://schemas.openxmlformats.org/officeDocument/2006/relationships/hyperlink" Id="rId74" Target="https://u.cisco.com/" TargetMode="External" /><Relationship Type="http://schemas.openxmlformats.org/officeDocument/2006/relationships/hyperlink" Id="rId96" Target="https://www.cisa.gov/resources-tools/training" TargetMode="External" /><Relationship Type="http://schemas.openxmlformats.org/officeDocument/2006/relationships/hyperlink" Id="rId79" Target="https://www.comptia.org/" TargetMode="External" /><Relationship Type="http://schemas.openxmlformats.org/officeDocument/2006/relationships/hyperlink" Id="rId89" Target="https://www.elastic.co/training/" TargetMode="External" /><Relationship Type="http://schemas.openxmlformats.org/officeDocument/2006/relationships/hyperlink" Id="rId61" Target="https://www.fedramp.gov/" TargetMode="External" /><Relationship Type="http://schemas.openxmlformats.org/officeDocument/2006/relationships/hyperlink" Id="rId77" Target="https://www.infoblox.com/infoblox-education/" TargetMode="External" /><Relationship Type="http://schemas.openxmlformats.org/officeDocument/2006/relationships/hyperlink" Id="rId101" Target="https://www.isaca.org/credentialing/certifications" TargetMode="External" /><Relationship Type="http://schemas.openxmlformats.org/officeDocument/2006/relationships/hyperlink" Id="rId91" Target="https://www.isc2.org/" TargetMode="External" /><Relationship Type="http://schemas.openxmlformats.org/officeDocument/2006/relationships/hyperlink" Id="rId76" Target="https://www.juniper.net/" TargetMode="External" /><Relationship Type="http://schemas.openxmlformats.org/officeDocument/2006/relationships/hyperlink" Id="rId75" Target="https://www.netacad.com/" TargetMode="External" /><Relationship Type="http://schemas.openxmlformats.org/officeDocument/2006/relationships/hyperlink" Id="rId85" Target="https://www.netskope.com/training" TargetMode="External" /><Relationship Type="http://schemas.openxmlformats.org/officeDocument/2006/relationships/hyperlink" Id="rId97" Target="https://www.nist.gov/itl/applied-cybersecurity/nice" TargetMode="External" /><Relationship Type="http://schemas.openxmlformats.org/officeDocument/2006/relationships/hyperlink" Id="rId83" Target="https://www.paloaltonetworks.com/services/education" TargetMode="External" /><Relationship Type="http://schemas.openxmlformats.org/officeDocument/2006/relationships/hyperlink" Id="rId93" Target="https://www.qualys.com/training/" TargetMode="External" /><Relationship Type="http://schemas.openxmlformats.org/officeDocument/2006/relationships/hyperlink" Id="rId81" Target="https://www.sailpoint.com/university" TargetMode="External" /><Relationship Type="http://schemas.openxmlformats.org/officeDocument/2006/relationships/hyperlink" Id="rId90" Target="https://www.sans.org/cyber-security-courses/" TargetMode="External" /><Relationship Type="http://schemas.openxmlformats.org/officeDocument/2006/relationships/hyperlink" Id="rId88" Target="https://www.splunk.com/en_us/training.html" TargetMode="External" /><Relationship Type="http://schemas.openxmlformats.org/officeDocument/2006/relationships/hyperlink" Id="rId92" Target="https://www.tenable.com/education" TargetMode="External" /><Relationship Type="http://schemas.openxmlformats.org/officeDocument/2006/relationships/hyperlink" Id="rId84" Target="https://www.zscaler.com/zscaler-cyber-academ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https://bluecatnetworks.com/services/training/" TargetMode="External" /><Relationship Type="http://schemas.openxmlformats.org/officeDocument/2006/relationships/hyperlink" Id="rId102" Target="https://iapp.org/certify" TargetMode="External" /><Relationship Type="http://schemas.openxmlformats.org/officeDocument/2006/relationships/hyperlink" Id="rId69" Target="https://learn.microsoft.com/en-us/credentials/certifications/azure-database-administrator-associate/" TargetMode="External" /><Relationship Type="http://schemas.openxmlformats.org/officeDocument/2006/relationships/hyperlink" Id="rId65" Target="https://learn.microsoft.com/en-us/credentials/certifications/azure-network-engineer-associate/" TargetMode="External" /><Relationship Type="http://schemas.openxmlformats.org/officeDocument/2006/relationships/hyperlink" Id="rId70" Target="https://learn.microsoft.com/en-us/credentials/certifications/azure-security-engineer/" TargetMode="External" /><Relationship Type="http://schemas.openxmlformats.org/officeDocument/2006/relationships/hyperlink" Id="rId71" Target="https://learn.microsoft.com/en-us/credentials/certifications/cybersecurity-architect-expert/" TargetMode="External" /><Relationship Type="http://schemas.openxmlformats.org/officeDocument/2006/relationships/hyperlink" Id="rId66" Target="https://learn.microsoft.com/en-us/credentials/certifications/identity-and-access-administrator/" TargetMode="External" /><Relationship Type="http://schemas.openxmlformats.org/officeDocument/2006/relationships/hyperlink" Id="rId68" Target="https://learn.microsoft.com/en-us/credentials/certifications/information-security-administrator/" TargetMode="External" /><Relationship Type="http://schemas.openxmlformats.org/officeDocument/2006/relationships/hyperlink" Id="rId67" Target="https://learn.microsoft.com/en-us/credentials/certifications/security-operations-analyst/" TargetMode="External" /><Relationship Type="http://schemas.openxmlformats.org/officeDocument/2006/relationships/hyperlink" Id="rId72" Target="https://learn.microsoft.com/en-us/training/" TargetMode="External" /><Relationship Type="http://schemas.openxmlformats.org/officeDocument/2006/relationships/hyperlink" Id="rId95" Target="https://learning.cisa.gov/" TargetMode="External" /><Relationship Type="http://schemas.openxmlformats.org/officeDocument/2006/relationships/hyperlink" Id="rId103" Target="https://learning.servicenow.com/" TargetMode="External" /><Relationship Type="http://schemas.openxmlformats.org/officeDocument/2006/relationships/hyperlink" Id="rId99" Target="https://openssf.org/training/" TargetMode="External" /><Relationship Type="http://schemas.openxmlformats.org/officeDocument/2006/relationships/hyperlink" Id="rId98" Target="https://skillbuilder.aws/" TargetMode="External" /><Relationship Type="http://schemas.openxmlformats.org/officeDocument/2006/relationships/hyperlink" Id="rId82" Target="https://training.fortinet.com/" TargetMode="External" /><Relationship Type="http://schemas.openxmlformats.org/officeDocument/2006/relationships/hyperlink" Id="rId100" Target="https://training.linuxfoundation.org/express-learning/automating-supply-chain-security-sboms-and-signatures-lfel1007/" TargetMode="External" /><Relationship Type="http://schemas.openxmlformats.org/officeDocument/2006/relationships/hyperlink" Id="rId74" Target="https://u.cisco.com/" TargetMode="External" /><Relationship Type="http://schemas.openxmlformats.org/officeDocument/2006/relationships/hyperlink" Id="rId96" Target="https://www.cisa.gov/resources-tools/training" TargetMode="External" /><Relationship Type="http://schemas.openxmlformats.org/officeDocument/2006/relationships/hyperlink" Id="rId79" Target="https://www.comptia.org/" TargetMode="External" /><Relationship Type="http://schemas.openxmlformats.org/officeDocument/2006/relationships/hyperlink" Id="rId89" Target="https://www.elastic.co/training/" TargetMode="External" /><Relationship Type="http://schemas.openxmlformats.org/officeDocument/2006/relationships/hyperlink" Id="rId61" Target="https://www.fedramp.gov/" TargetMode="External" /><Relationship Type="http://schemas.openxmlformats.org/officeDocument/2006/relationships/hyperlink" Id="rId77" Target="https://www.infoblox.com/infoblox-education/" TargetMode="External" /><Relationship Type="http://schemas.openxmlformats.org/officeDocument/2006/relationships/hyperlink" Id="rId101" Target="https://www.isaca.org/credentialing/certifications" TargetMode="External" /><Relationship Type="http://schemas.openxmlformats.org/officeDocument/2006/relationships/hyperlink" Id="rId91" Target="https://www.isc2.org/" TargetMode="External" /><Relationship Type="http://schemas.openxmlformats.org/officeDocument/2006/relationships/hyperlink" Id="rId76" Target="https://www.juniper.net/" TargetMode="External" /><Relationship Type="http://schemas.openxmlformats.org/officeDocument/2006/relationships/hyperlink" Id="rId75" Target="https://www.netacad.com/" TargetMode="External" /><Relationship Type="http://schemas.openxmlformats.org/officeDocument/2006/relationships/hyperlink" Id="rId85" Target="https://www.netskope.com/training" TargetMode="External" /><Relationship Type="http://schemas.openxmlformats.org/officeDocument/2006/relationships/hyperlink" Id="rId97" Target="https://www.nist.gov/itl/applied-cybersecurity/nice" TargetMode="External" /><Relationship Type="http://schemas.openxmlformats.org/officeDocument/2006/relationships/hyperlink" Id="rId83" Target="https://www.paloaltonetworks.com/services/education" TargetMode="External" /><Relationship Type="http://schemas.openxmlformats.org/officeDocument/2006/relationships/hyperlink" Id="rId93" Target="https://www.qualys.com/training/" TargetMode="External" /><Relationship Type="http://schemas.openxmlformats.org/officeDocument/2006/relationships/hyperlink" Id="rId81" Target="https://www.sailpoint.com/university" TargetMode="External" /><Relationship Type="http://schemas.openxmlformats.org/officeDocument/2006/relationships/hyperlink" Id="rId90" Target="https://www.sans.org/cyber-security-courses/" TargetMode="External" /><Relationship Type="http://schemas.openxmlformats.org/officeDocument/2006/relationships/hyperlink" Id="rId88" Target="https://www.splunk.com/en_us/training.html" TargetMode="External" /><Relationship Type="http://schemas.openxmlformats.org/officeDocument/2006/relationships/hyperlink" Id="rId92" Target="https://www.tenable.com/education" TargetMode="External" /><Relationship Type="http://schemas.openxmlformats.org/officeDocument/2006/relationships/hyperlink" Id="rId84" Target="https://www.zscaler.com/zscaler-cyber-academ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Volume V — Training &amp; Certification</dc:title>
  <dc:creator/>
  <cp:keywords/>
  <dcterms:created xsi:type="dcterms:W3CDTF">2026-10-19T10:17:43Z</dcterms:created>
  <dcterms:modified xsi:type="dcterms:W3CDTF">2026-10-19T10:17:43Z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Federal Compliance Series</vt:lpwstr>
  </property>
</Properties>
</file>